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E2" w:rsidRDefault="009430E2" w:rsidP="00E27AE4">
      <w:pPr>
        <w:spacing w:after="0" w:line="264" w:lineRule="auto"/>
        <w:ind w:firstLine="709"/>
        <w:rPr>
          <w:rFonts w:cstheme="minorHAnsi"/>
          <w:b/>
          <w:bCs/>
          <w:sz w:val="24"/>
          <w:szCs w:val="24"/>
        </w:rPr>
      </w:pPr>
      <w:r w:rsidRPr="00462F6F">
        <w:rPr>
          <w:rFonts w:cs="Times New Roman"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 wp14:anchorId="6907875D" wp14:editId="60E0D8AB">
            <wp:simplePos x="0" y="0"/>
            <wp:positionH relativeFrom="margin">
              <wp:align>center</wp:align>
            </wp:positionH>
            <wp:positionV relativeFrom="paragraph">
              <wp:posOffset>297180</wp:posOffset>
            </wp:positionV>
            <wp:extent cx="1412240" cy="1575435"/>
            <wp:effectExtent l="0" t="0" r="0" b="5715"/>
            <wp:wrapTopAndBottom/>
            <wp:docPr id="9" name="Resim 9" descr="C:\Users\hasan.cosku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.coskun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0E2" w:rsidRDefault="009430E2" w:rsidP="00E27AE4">
      <w:pPr>
        <w:spacing w:after="0" w:line="264" w:lineRule="auto"/>
        <w:ind w:firstLine="709"/>
        <w:rPr>
          <w:rFonts w:cstheme="minorHAnsi"/>
          <w:b/>
          <w:bCs/>
          <w:sz w:val="24"/>
          <w:szCs w:val="24"/>
        </w:rPr>
      </w:pPr>
      <w:r w:rsidRPr="00462F6F">
        <w:rPr>
          <w:rFonts w:asciiTheme="majorHAnsi" w:eastAsiaTheme="majorEastAsia" w:hAnsiTheme="majorHAnsi" w:cstheme="majorBidi"/>
          <w:caps/>
          <w:noProof/>
          <w:color w:val="5B9BD5" w:themeColor="accent1"/>
          <w:sz w:val="36"/>
          <w:szCs w:val="36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0FF621" wp14:editId="4562488C">
                <wp:simplePos x="0" y="0"/>
                <wp:positionH relativeFrom="margin">
                  <wp:align>left</wp:align>
                </wp:positionH>
                <wp:positionV relativeFrom="paragraph">
                  <wp:posOffset>2093595</wp:posOffset>
                </wp:positionV>
                <wp:extent cx="5753100" cy="4271645"/>
                <wp:effectExtent l="0" t="0" r="19050" b="1460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271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35D" w:rsidRDefault="00DD435D" w:rsidP="009430E2">
                            <w:pPr>
                              <w:pStyle w:val="AralkYok"/>
                              <w:spacing w:after="24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D435D" w:rsidRDefault="00DD435D" w:rsidP="009430E2">
                            <w:pPr>
                              <w:pStyle w:val="AralkYok"/>
                              <w:spacing w:after="24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D435D" w:rsidRPr="000C65C3" w:rsidRDefault="00DD435D" w:rsidP="009430E2">
                            <w:pPr>
                              <w:pStyle w:val="AralkYok"/>
                              <w:spacing w:after="24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45B4E">
                              <w:rPr>
                                <w:rFonts w:eastAsiaTheme="minorHAnsi" w:cstheme="minorHAnsi"/>
                                <w:b/>
                                <w:sz w:val="40"/>
                                <w:szCs w:val="40"/>
                                <w:lang w:eastAsia="en-US"/>
                              </w:rPr>
                              <w:t>ÇEŞİTLEME BAŞVURULARI İLE VARYASYON BAŞVURULARININ SINIFLANDIRILMASINA DAİR KILAVUZ</w:t>
                            </w:r>
                          </w:p>
                          <w:p w:rsidR="00DD435D" w:rsidRPr="00E66D6A" w:rsidRDefault="00DD435D" w:rsidP="009430E2">
                            <w:pPr>
                              <w:pStyle w:val="AralkYok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FF62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64.85pt;width:453pt;height:336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" fillcolor="#deeaf6 [660]" strokecolor="#5b9bd5 [3204]" strokeweight=".5pt">
                <v:textbox>
                  <w:txbxContent>
                    <w:p w:rsidR="00DD435D" w:rsidRDefault="00DD435D" w:rsidP="009430E2">
                      <w:pPr>
                        <w:pStyle w:val="AralkYok"/>
                        <w:spacing w:after="24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D435D" w:rsidRDefault="00DD435D" w:rsidP="009430E2">
                      <w:pPr>
                        <w:pStyle w:val="AralkYok"/>
                        <w:spacing w:after="24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D435D" w:rsidRPr="000C65C3" w:rsidRDefault="00DD435D" w:rsidP="009430E2">
                      <w:pPr>
                        <w:pStyle w:val="AralkYok"/>
                        <w:spacing w:after="24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45B4E">
                        <w:rPr>
                          <w:rFonts w:eastAsiaTheme="minorHAnsi" w:cstheme="minorHAnsi"/>
                          <w:b/>
                          <w:sz w:val="40"/>
                          <w:szCs w:val="40"/>
                          <w:lang w:eastAsia="en-US"/>
                        </w:rPr>
                        <w:t>ÇEŞİTLEME BAŞVURULARI İLE VARYASYON BAŞVURULARININ SINIFLANDIRILMASINA DAİR KILAVUZ</w:t>
                      </w:r>
                    </w:p>
                    <w:p w:rsidR="00DD435D" w:rsidRPr="00E66D6A" w:rsidRDefault="00DD435D" w:rsidP="009430E2">
                      <w:pPr>
                        <w:pStyle w:val="AralkYok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30E2" w:rsidRDefault="009430E2" w:rsidP="00E27AE4">
      <w:pPr>
        <w:spacing w:after="0" w:line="264" w:lineRule="auto"/>
        <w:ind w:firstLine="709"/>
        <w:rPr>
          <w:rFonts w:cstheme="minorHAnsi"/>
          <w:b/>
          <w:bCs/>
          <w:sz w:val="24"/>
          <w:szCs w:val="24"/>
        </w:rPr>
      </w:pPr>
    </w:p>
    <w:p w:rsidR="009430E2" w:rsidRDefault="009430E2" w:rsidP="00E27AE4">
      <w:pPr>
        <w:spacing w:after="0" w:line="264" w:lineRule="auto"/>
        <w:ind w:firstLine="709"/>
        <w:rPr>
          <w:rFonts w:cstheme="minorHAnsi"/>
          <w:b/>
          <w:bCs/>
          <w:sz w:val="24"/>
          <w:szCs w:val="24"/>
        </w:rPr>
      </w:pPr>
    </w:p>
    <w:p w:rsidR="009430E2" w:rsidRDefault="009430E2" w:rsidP="00E27AE4">
      <w:pPr>
        <w:spacing w:after="0" w:line="264" w:lineRule="auto"/>
        <w:ind w:firstLine="709"/>
        <w:rPr>
          <w:rFonts w:cstheme="minorHAnsi"/>
          <w:b/>
          <w:bCs/>
          <w:sz w:val="24"/>
          <w:szCs w:val="24"/>
        </w:rPr>
      </w:pPr>
    </w:p>
    <w:p w:rsidR="009430E2" w:rsidRDefault="009430E2" w:rsidP="00E27AE4">
      <w:pPr>
        <w:spacing w:after="0" w:line="264" w:lineRule="auto"/>
        <w:ind w:firstLine="709"/>
        <w:rPr>
          <w:rFonts w:cstheme="minorHAnsi"/>
          <w:b/>
          <w:bCs/>
          <w:sz w:val="24"/>
          <w:szCs w:val="24"/>
        </w:rPr>
      </w:pPr>
    </w:p>
    <w:p w:rsidR="009430E2" w:rsidRPr="000C65C3" w:rsidRDefault="001C38F8" w:rsidP="009430E2">
      <w:pPr>
        <w:pStyle w:val="AralkYok"/>
        <w:spacing w:after="240"/>
        <w:jc w:val="center"/>
        <w:rPr>
          <w:rFonts w:cstheme="minorHAnsi"/>
          <w:b/>
          <w:color w:val="BDD6EE" w:themeColor="accent1" w:themeTint="66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>19</w:t>
      </w:r>
      <w:r w:rsidR="009430E2" w:rsidRPr="000C65C3">
        <w:rPr>
          <w:rFonts w:cstheme="minorHAnsi"/>
          <w:b/>
          <w:color w:val="000000" w:themeColor="text1"/>
          <w:sz w:val="36"/>
          <w:szCs w:val="36"/>
        </w:rPr>
        <w:t>.0</w:t>
      </w:r>
      <w:r w:rsidR="009430E2">
        <w:rPr>
          <w:rFonts w:cstheme="minorHAnsi"/>
          <w:b/>
          <w:color w:val="000000" w:themeColor="text1"/>
          <w:sz w:val="36"/>
          <w:szCs w:val="36"/>
        </w:rPr>
        <w:t>9.2017</w:t>
      </w:r>
    </w:p>
    <w:p w:rsidR="009430E2" w:rsidRPr="000C65C3" w:rsidRDefault="009430E2" w:rsidP="009430E2">
      <w:pPr>
        <w:pStyle w:val="AralkYok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0C65C3">
        <w:rPr>
          <w:rFonts w:cstheme="minorHAnsi"/>
          <w:b/>
          <w:color w:val="000000" w:themeColor="text1"/>
          <w:sz w:val="36"/>
          <w:szCs w:val="36"/>
        </w:rPr>
        <w:t>Versiyon No: 01</w:t>
      </w:r>
    </w:p>
    <w:p w:rsidR="009430E2" w:rsidRDefault="009430E2" w:rsidP="009430E2">
      <w:pPr>
        <w:spacing w:after="0" w:line="264" w:lineRule="auto"/>
        <w:rPr>
          <w:rFonts w:eastAsiaTheme="minorEastAsia"/>
          <w:b/>
          <w:color w:val="000000" w:themeColor="text1"/>
          <w:sz w:val="36"/>
          <w:szCs w:val="36"/>
          <w:lang w:eastAsia="tr-TR"/>
        </w:rPr>
      </w:pPr>
    </w:p>
    <w:p w:rsidR="009430E2" w:rsidRDefault="009430E2" w:rsidP="009430E2">
      <w:pPr>
        <w:spacing w:after="0" w:line="264" w:lineRule="auto"/>
        <w:rPr>
          <w:rFonts w:cstheme="minorHAnsi"/>
          <w:b/>
          <w:bCs/>
          <w:sz w:val="24"/>
          <w:szCs w:val="24"/>
        </w:rPr>
      </w:pPr>
    </w:p>
    <w:p w:rsidR="009430E2" w:rsidRDefault="009430E2" w:rsidP="00E27AE4">
      <w:pPr>
        <w:spacing w:after="0" w:line="264" w:lineRule="auto"/>
        <w:ind w:firstLine="709"/>
        <w:rPr>
          <w:rFonts w:cstheme="minorHAnsi"/>
          <w:b/>
          <w:bCs/>
          <w:sz w:val="24"/>
          <w:szCs w:val="24"/>
        </w:rPr>
      </w:pPr>
    </w:p>
    <w:p w:rsidR="00E27AE4" w:rsidRPr="006E5C89" w:rsidRDefault="00E27AE4" w:rsidP="00E27AE4">
      <w:pPr>
        <w:spacing w:after="0" w:line="264" w:lineRule="auto"/>
        <w:ind w:firstLine="709"/>
        <w:rPr>
          <w:rFonts w:cstheme="minorHAnsi"/>
          <w:b/>
          <w:bCs/>
          <w:sz w:val="24"/>
          <w:szCs w:val="24"/>
        </w:rPr>
      </w:pPr>
      <w:r w:rsidRPr="006E5C89">
        <w:rPr>
          <w:rFonts w:cstheme="minorHAnsi"/>
          <w:b/>
          <w:bCs/>
          <w:sz w:val="24"/>
          <w:szCs w:val="24"/>
        </w:rPr>
        <w:lastRenderedPageBreak/>
        <w:t>GİRİŞ</w:t>
      </w:r>
    </w:p>
    <w:p w:rsidR="00E27AE4" w:rsidRPr="006E5C89" w:rsidRDefault="00E27AE4" w:rsidP="00E27AE4">
      <w:pPr>
        <w:spacing w:after="0" w:line="264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Bu kılavuz </w:t>
      </w:r>
      <w:r w:rsidRPr="00011643">
        <w:rPr>
          <w:rFonts w:cstheme="minorHAnsi"/>
          <w:bCs/>
          <w:i/>
          <w:sz w:val="24"/>
          <w:szCs w:val="24"/>
        </w:rPr>
        <w:t>Beşeri Tıbbi Ürünler Ruhsatlandırma Yönetmeliğine</w:t>
      </w:r>
      <w:r w:rsidRPr="0017250A">
        <w:rPr>
          <w:rFonts w:cstheme="minorHAnsi"/>
          <w:bCs/>
          <w:sz w:val="24"/>
          <w:szCs w:val="24"/>
        </w:rPr>
        <w:t xml:space="preserve"> göre ruhsatlandırılmış ürünlerle ilgili yapılması düşünülen yeni bir başvurunun çeşitleme ya da varyasyon oluşuna karar verilebilmesi amacı ile hazırlanmıştır.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011643">
        <w:rPr>
          <w:rFonts w:cstheme="minorHAnsi"/>
          <w:bCs/>
          <w:i/>
          <w:sz w:val="24"/>
          <w:szCs w:val="24"/>
        </w:rPr>
        <w:t>Ruhsatlı Beşeri Tıbbi Ürünlerdeki Varyasyonlara Dair Yönetmelik</w:t>
      </w:r>
      <w:r w:rsidRPr="0017250A">
        <w:rPr>
          <w:rFonts w:cstheme="minorHAnsi"/>
          <w:bCs/>
          <w:sz w:val="24"/>
          <w:szCs w:val="24"/>
        </w:rPr>
        <w:t xml:space="preserve"> ek-1’ de çeşitleme başvuruları iki ana kategoride yer almaktadır: 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1. Etkin madde(</w:t>
      </w:r>
      <w:proofErr w:type="spellStart"/>
      <w:r w:rsidRPr="0017250A">
        <w:rPr>
          <w:rFonts w:cstheme="minorHAnsi"/>
          <w:bCs/>
          <w:sz w:val="24"/>
          <w:szCs w:val="24"/>
        </w:rPr>
        <w:t>ler</w:t>
      </w:r>
      <w:proofErr w:type="spellEnd"/>
      <w:r w:rsidRPr="0017250A">
        <w:rPr>
          <w:rFonts w:cstheme="minorHAnsi"/>
          <w:bCs/>
          <w:sz w:val="24"/>
          <w:szCs w:val="24"/>
        </w:rPr>
        <w:t>)deki değişiklikler,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2. </w:t>
      </w:r>
      <w:proofErr w:type="spellStart"/>
      <w:r w:rsidRPr="0017250A">
        <w:rPr>
          <w:rFonts w:cstheme="minorHAnsi"/>
          <w:bCs/>
          <w:sz w:val="24"/>
          <w:szCs w:val="24"/>
        </w:rPr>
        <w:t>Yitilik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şekil ve uygulama yolundaki değişiklikler.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011643">
        <w:rPr>
          <w:rFonts w:cstheme="minorHAnsi"/>
          <w:bCs/>
          <w:i/>
          <w:sz w:val="24"/>
          <w:szCs w:val="24"/>
        </w:rPr>
        <w:t>Ruhsatlı Beşeri Tıbbi Ürünlerdeki Varyasyonlara Dair Yönetmeliğin</w:t>
      </w:r>
      <w:r>
        <w:rPr>
          <w:rFonts w:cstheme="minorHAnsi"/>
          <w:bCs/>
          <w:sz w:val="24"/>
          <w:szCs w:val="24"/>
        </w:rPr>
        <w:t xml:space="preserve"> </w:t>
      </w:r>
      <w:r w:rsidR="004F2747">
        <w:rPr>
          <w:rFonts w:cstheme="minorHAnsi"/>
          <w:bCs/>
          <w:sz w:val="24"/>
          <w:szCs w:val="24"/>
        </w:rPr>
        <w:t>ek-1’inde belirtilen durumlarda</w:t>
      </w:r>
      <w:r w:rsidRPr="0017250A">
        <w:rPr>
          <w:rFonts w:cstheme="minorHAnsi"/>
          <w:bCs/>
          <w:sz w:val="24"/>
          <w:szCs w:val="24"/>
        </w:rPr>
        <w:t xml:space="preserve"> yapılacak tüm başvurular ruhsatlandı</w:t>
      </w:r>
      <w:r>
        <w:rPr>
          <w:rFonts w:cstheme="minorHAnsi"/>
          <w:bCs/>
          <w:sz w:val="24"/>
          <w:szCs w:val="24"/>
        </w:rPr>
        <w:t xml:space="preserve">rma </w:t>
      </w:r>
      <w:proofErr w:type="gramStart"/>
      <w:r>
        <w:rPr>
          <w:rFonts w:cstheme="minorHAnsi"/>
          <w:bCs/>
          <w:sz w:val="24"/>
          <w:szCs w:val="24"/>
        </w:rPr>
        <w:t>prosedürüne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 w:rsidR="004F2747">
        <w:rPr>
          <w:rFonts w:cstheme="minorHAnsi"/>
          <w:bCs/>
          <w:sz w:val="24"/>
          <w:szCs w:val="24"/>
        </w:rPr>
        <w:t>göre değerlendirilir</w:t>
      </w:r>
      <w:r w:rsidRPr="0017250A">
        <w:rPr>
          <w:rFonts w:cstheme="minorHAnsi"/>
          <w:bCs/>
          <w:sz w:val="24"/>
          <w:szCs w:val="24"/>
        </w:rPr>
        <w:t xml:space="preserve">. 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Grip aşıları ve </w:t>
      </w:r>
      <w:proofErr w:type="spellStart"/>
      <w:r w:rsidRPr="0017250A">
        <w:rPr>
          <w:rFonts w:cstheme="minorHAnsi"/>
          <w:bCs/>
          <w:sz w:val="24"/>
          <w:szCs w:val="24"/>
        </w:rPr>
        <w:t>pandemik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bir durum oluşturma olasılığı olan diğer beşeri hastalıklar için yıllık yenileme </w:t>
      </w:r>
      <w:proofErr w:type="gramStart"/>
      <w:r w:rsidRPr="0017250A">
        <w:rPr>
          <w:rFonts w:cstheme="minorHAnsi"/>
          <w:bCs/>
          <w:sz w:val="24"/>
          <w:szCs w:val="24"/>
        </w:rPr>
        <w:t>prosedürü</w:t>
      </w:r>
      <w:proofErr w:type="gramEnd"/>
      <w:r w:rsidRPr="0017250A">
        <w:rPr>
          <w:rFonts w:cstheme="minorHAnsi"/>
          <w:bCs/>
          <w:sz w:val="24"/>
          <w:szCs w:val="24"/>
        </w:rPr>
        <w:t xml:space="preserve"> bir istisnadır. Etkin maddede bir değişiklik olsa da, sadece Tip II varyasyon yapılır. </w:t>
      </w:r>
    </w:p>
    <w:p w:rsidR="00E27AE4" w:rsidRPr="00B45B4E" w:rsidRDefault="00E27AE4" w:rsidP="00E27AE4">
      <w:pPr>
        <w:spacing w:after="120" w:line="276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B45B4E">
        <w:rPr>
          <w:rFonts w:cstheme="minorHAnsi"/>
          <w:b/>
          <w:bCs/>
          <w:sz w:val="24"/>
          <w:szCs w:val="24"/>
        </w:rPr>
        <w:t>A) TANIMLAR VE İLKELER</w:t>
      </w:r>
    </w:p>
    <w:p w:rsidR="00E27AE4" w:rsidRPr="00200977" w:rsidRDefault="00E27AE4" w:rsidP="00E27AE4">
      <w:pPr>
        <w:spacing w:after="120" w:line="276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200977">
        <w:rPr>
          <w:rFonts w:cstheme="minorHAnsi"/>
          <w:b/>
          <w:bCs/>
          <w:sz w:val="24"/>
          <w:szCs w:val="24"/>
        </w:rPr>
        <w:t xml:space="preserve">1) </w:t>
      </w:r>
      <w:proofErr w:type="spellStart"/>
      <w:r w:rsidRPr="00200977">
        <w:rPr>
          <w:rFonts w:cstheme="minorHAnsi"/>
          <w:b/>
          <w:bCs/>
          <w:sz w:val="24"/>
          <w:szCs w:val="24"/>
        </w:rPr>
        <w:t>Farmasötik</w:t>
      </w:r>
      <w:proofErr w:type="spellEnd"/>
      <w:r w:rsidRPr="00200977">
        <w:rPr>
          <w:rFonts w:cstheme="minorHAnsi"/>
          <w:b/>
          <w:bCs/>
          <w:sz w:val="24"/>
          <w:szCs w:val="24"/>
        </w:rPr>
        <w:t xml:space="preserve"> şekil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Terminolojik olarak</w:t>
      </w:r>
      <w:r>
        <w:rPr>
          <w:rFonts w:cstheme="minorHAnsi"/>
          <w:bCs/>
          <w:sz w:val="24"/>
          <w:szCs w:val="24"/>
        </w:rPr>
        <w:t>,</w:t>
      </w:r>
      <w:r w:rsidRPr="0017250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</w:t>
      </w:r>
      <w:r w:rsidRPr="0017250A">
        <w:rPr>
          <w:rFonts w:cstheme="minorHAnsi"/>
          <w:bCs/>
          <w:sz w:val="24"/>
          <w:szCs w:val="24"/>
        </w:rPr>
        <w:t xml:space="preserve">ozaj şekli ve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şekil tamamen aynı anlama gelmektedir. 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şekil</w:t>
      </w:r>
      <w:r>
        <w:rPr>
          <w:rFonts w:cstheme="minorHAnsi"/>
          <w:bCs/>
          <w:sz w:val="24"/>
          <w:szCs w:val="24"/>
        </w:rPr>
        <w:t>,</w:t>
      </w:r>
      <w:r w:rsidRPr="0017250A">
        <w:rPr>
          <w:rFonts w:cstheme="minorHAnsi"/>
          <w:bCs/>
          <w:sz w:val="24"/>
          <w:szCs w:val="24"/>
        </w:rPr>
        <w:t xml:space="preserve"> üretici tarafından sunulan bir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ürünün şekli (sunum şekli) ve fiziksel şekli içeren uygulanan şekli (uygulama şekli)</w:t>
      </w:r>
      <w:proofErr w:type="spellStart"/>
      <w:r w:rsidRPr="0017250A">
        <w:rPr>
          <w:rFonts w:cstheme="minorHAnsi"/>
          <w:bCs/>
          <w:sz w:val="24"/>
          <w:szCs w:val="24"/>
        </w:rPr>
        <w:t>nin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bir </w:t>
      </w:r>
      <w:proofErr w:type="gramStart"/>
      <w:r w:rsidRPr="0017250A">
        <w:rPr>
          <w:rFonts w:cstheme="minorHAnsi"/>
          <w:bCs/>
          <w:sz w:val="24"/>
          <w:szCs w:val="24"/>
        </w:rPr>
        <w:t>kombinasyonudur</w:t>
      </w:r>
      <w:proofErr w:type="gramEnd"/>
      <w:r w:rsidRPr="0017250A">
        <w:rPr>
          <w:rFonts w:cstheme="minorHAnsi"/>
          <w:bCs/>
          <w:sz w:val="24"/>
          <w:szCs w:val="24"/>
        </w:rPr>
        <w:t xml:space="preserve">.  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Beşeri tıbbi ü</w:t>
      </w:r>
      <w:r w:rsidRPr="0017250A">
        <w:rPr>
          <w:rFonts w:cstheme="minorHAnsi"/>
          <w:bCs/>
          <w:sz w:val="24"/>
          <w:szCs w:val="24"/>
        </w:rPr>
        <w:t xml:space="preserve">rünün üretici tarafından tedarik edilen fiziksel şekli hastaya uygulanan ya da hasta tarafından uygulanandan farklı ise, yani uygulamadan/kullanmadan önce üründe değişiklik gerekli ise, bu </w:t>
      </w:r>
      <w:r>
        <w:rPr>
          <w:rFonts w:cstheme="minorHAnsi"/>
          <w:bCs/>
          <w:sz w:val="24"/>
          <w:szCs w:val="24"/>
        </w:rPr>
        <w:t>unsurların</w:t>
      </w:r>
      <w:r w:rsidRPr="0017250A">
        <w:rPr>
          <w:rFonts w:cstheme="minorHAnsi"/>
          <w:bCs/>
          <w:sz w:val="24"/>
          <w:szCs w:val="24"/>
        </w:rPr>
        <w:t xml:space="preserve"> her ikisinin de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şekil terimi ile </w:t>
      </w:r>
      <w:r>
        <w:rPr>
          <w:rFonts w:cstheme="minorHAnsi"/>
          <w:bCs/>
          <w:sz w:val="24"/>
          <w:szCs w:val="24"/>
        </w:rPr>
        <w:t>bildirilmesi</w:t>
      </w:r>
      <w:r w:rsidRPr="0017250A">
        <w:rPr>
          <w:rFonts w:cstheme="minorHAnsi"/>
          <w:bCs/>
          <w:sz w:val="24"/>
          <w:szCs w:val="24"/>
        </w:rPr>
        <w:t xml:space="preserve"> gerekmektedir.</w:t>
      </w:r>
      <w:r>
        <w:rPr>
          <w:rFonts w:cstheme="minorHAnsi"/>
          <w:bCs/>
          <w:sz w:val="24"/>
          <w:szCs w:val="24"/>
        </w:rPr>
        <w:t xml:space="preserve"> </w:t>
      </w:r>
      <w:r w:rsidRPr="0017250A">
        <w:rPr>
          <w:rFonts w:cstheme="minorHAnsi"/>
          <w:bCs/>
          <w:sz w:val="24"/>
          <w:szCs w:val="24"/>
        </w:rPr>
        <w:t xml:space="preserve">Ürün kullanımı ile ilgili bazı özel niteliklere sahip ise, bunların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şekil terimine dâhil edilmesi gerekir.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Bazı durumlarda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şeklin daha fazla nitelendirilmesine ihtiyaç duyulur. Bu durumda “</w:t>
      </w:r>
      <w:proofErr w:type="spellStart"/>
      <w:r w:rsidRPr="0017250A">
        <w:rPr>
          <w:rFonts w:cstheme="minorHAnsi"/>
          <w:bCs/>
          <w:sz w:val="24"/>
          <w:szCs w:val="24"/>
        </w:rPr>
        <w:t>efervesan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toz”, “değiştirilmiş salım sağlayan tablet” veya “uzatılmış salım sağlayan tablet”, “</w:t>
      </w:r>
      <w:proofErr w:type="spellStart"/>
      <w:r>
        <w:rPr>
          <w:rFonts w:cstheme="minorHAnsi"/>
          <w:bCs/>
          <w:sz w:val="24"/>
          <w:szCs w:val="24"/>
        </w:rPr>
        <w:t>gastro-rezistan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kapsül”</w:t>
      </w:r>
      <w:r>
        <w:rPr>
          <w:rFonts w:cstheme="minorHAnsi"/>
          <w:bCs/>
          <w:sz w:val="24"/>
          <w:szCs w:val="24"/>
        </w:rPr>
        <w:t xml:space="preserve"> </w:t>
      </w:r>
      <w:r w:rsidRPr="0017250A">
        <w:rPr>
          <w:rFonts w:cstheme="minorHAnsi"/>
          <w:bCs/>
          <w:sz w:val="24"/>
          <w:szCs w:val="24"/>
        </w:rPr>
        <w:t xml:space="preserve">gibi ifadelerin kullanılması ve değişik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şekiller olarak göz önüne alınması gerekir. 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Belirli durumlarda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şeklin tam bir </w:t>
      </w:r>
      <w:proofErr w:type="spellStart"/>
      <w:r w:rsidRPr="0017250A">
        <w:rPr>
          <w:rFonts w:cstheme="minorHAnsi"/>
          <w:bCs/>
          <w:sz w:val="24"/>
          <w:szCs w:val="24"/>
        </w:rPr>
        <w:t>karakterizasyonu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için kap ile ilgili ilave bilgiler gerekir. Bu husus her koşulda </w:t>
      </w:r>
      <w:proofErr w:type="gramStart"/>
      <w:r w:rsidRPr="0017250A">
        <w:rPr>
          <w:rFonts w:cstheme="minorHAnsi"/>
          <w:bCs/>
          <w:sz w:val="24"/>
          <w:szCs w:val="24"/>
        </w:rPr>
        <w:t>spesifik</w:t>
      </w:r>
      <w:proofErr w:type="gramEnd"/>
      <w:r w:rsidRPr="0017250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şekiller olarak değerlendirilen kullanıma hazır şırıngalara, basınçlı </w:t>
      </w:r>
      <w:proofErr w:type="spellStart"/>
      <w:r w:rsidRPr="0017250A">
        <w:rPr>
          <w:rFonts w:cstheme="minorHAnsi"/>
          <w:bCs/>
          <w:sz w:val="24"/>
          <w:szCs w:val="24"/>
        </w:rPr>
        <w:t>preperatlara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ve tek dozluk preparatlara uygulanır. Aynı durum kabın / uygulama cihazının tasarımına bağlı olarak aynı uygulama yolundan verilişinin farklılık gösterdiği hallerde de uygulanır. Basınçlı kaplar ve sprey pompası </w:t>
      </w:r>
      <w:proofErr w:type="gramStart"/>
      <w:r w:rsidRPr="0017250A">
        <w:rPr>
          <w:rFonts w:cstheme="minorHAnsi"/>
          <w:bCs/>
          <w:sz w:val="24"/>
          <w:szCs w:val="24"/>
        </w:rPr>
        <w:t>spesifik</w:t>
      </w:r>
      <w:proofErr w:type="gramEnd"/>
      <w:r w:rsidRPr="0017250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şekiller olarak değerlendirilmektedir. 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Tip-II değişiklik ile sonuçlanan çözücü çıkarılması durumu haricinde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şekildeki bir değişiklik ya da ilave “Çeşitleme Başvurusu” olarak değerlendirilir.</w:t>
      </w:r>
    </w:p>
    <w:p w:rsidR="00E27AE4" w:rsidRPr="00200977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i/>
          <w:sz w:val="24"/>
          <w:szCs w:val="24"/>
        </w:rPr>
      </w:pPr>
      <w:r w:rsidRPr="00200977">
        <w:rPr>
          <w:rFonts w:cstheme="minorHAnsi"/>
          <w:bCs/>
          <w:i/>
          <w:sz w:val="24"/>
          <w:szCs w:val="24"/>
        </w:rPr>
        <w:lastRenderedPageBreak/>
        <w:t>a) Tek dozlu preparatlar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Tek dozlu</w:t>
      </w:r>
      <w:r w:rsidRPr="0017250A">
        <w:rPr>
          <w:rFonts w:cstheme="minorHAnsi"/>
          <w:bCs/>
          <w:sz w:val="24"/>
          <w:szCs w:val="24"/>
        </w:rPr>
        <w:t xml:space="preserve"> preparatlar ayrı ayrı kaplar içinde (</w:t>
      </w:r>
      <w:proofErr w:type="spellStart"/>
      <w:r w:rsidRPr="0017250A">
        <w:rPr>
          <w:rFonts w:cstheme="minorHAnsi"/>
          <w:bCs/>
          <w:sz w:val="24"/>
          <w:szCs w:val="24"/>
        </w:rPr>
        <w:t>saşe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17250A">
        <w:rPr>
          <w:rFonts w:cstheme="minorHAnsi"/>
          <w:bCs/>
          <w:sz w:val="24"/>
          <w:szCs w:val="24"/>
        </w:rPr>
        <w:t>flakon</w:t>
      </w:r>
      <w:proofErr w:type="spellEnd"/>
      <w:r w:rsidRPr="0017250A">
        <w:rPr>
          <w:rFonts w:cstheme="minorHAnsi"/>
          <w:bCs/>
          <w:sz w:val="24"/>
          <w:szCs w:val="24"/>
        </w:rPr>
        <w:t>, kullanıma hazır şırınga, ampul, küçük şişe) kullanıma sunulurlar.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Tek dozlu</w:t>
      </w:r>
      <w:r w:rsidRPr="0017250A">
        <w:rPr>
          <w:rFonts w:cstheme="minorHAnsi"/>
          <w:bCs/>
          <w:sz w:val="24"/>
          <w:szCs w:val="24"/>
        </w:rPr>
        <w:t xml:space="preserve"> bir kap tek uygulama şeklindeki bütün ya da kısmi kullanım amacına haiz bir miktardaki preparatı içerir. Bu tanımlama şunları içerir: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i) Tek bir </w:t>
      </w:r>
      <w:r>
        <w:rPr>
          <w:rFonts w:cstheme="minorHAnsi"/>
          <w:bCs/>
          <w:sz w:val="24"/>
          <w:szCs w:val="24"/>
        </w:rPr>
        <w:t xml:space="preserve">uygulamada ambalajda bulunan </w:t>
      </w:r>
      <w:r w:rsidRPr="0017250A">
        <w:rPr>
          <w:rFonts w:cstheme="minorHAnsi"/>
          <w:bCs/>
          <w:sz w:val="24"/>
          <w:szCs w:val="24"/>
        </w:rPr>
        <w:t xml:space="preserve">etkin madde miktarının </w:t>
      </w:r>
      <w:r>
        <w:rPr>
          <w:rFonts w:cstheme="minorHAnsi"/>
          <w:bCs/>
          <w:sz w:val="24"/>
          <w:szCs w:val="24"/>
        </w:rPr>
        <w:t xml:space="preserve">tümünün </w:t>
      </w:r>
      <w:r w:rsidRPr="0017250A">
        <w:rPr>
          <w:rFonts w:cstheme="minorHAnsi"/>
          <w:bCs/>
          <w:sz w:val="24"/>
          <w:szCs w:val="24"/>
        </w:rPr>
        <w:t xml:space="preserve">(“toplam kullanım”) verileceği şekilde tasarlanmış </w:t>
      </w:r>
      <w:r>
        <w:rPr>
          <w:rFonts w:cstheme="minorHAnsi"/>
          <w:bCs/>
          <w:sz w:val="24"/>
          <w:szCs w:val="24"/>
        </w:rPr>
        <w:t xml:space="preserve">beşeri </w:t>
      </w:r>
      <w:r w:rsidRPr="0017250A">
        <w:rPr>
          <w:rFonts w:cstheme="minorHAnsi"/>
          <w:bCs/>
          <w:sz w:val="24"/>
          <w:szCs w:val="24"/>
        </w:rPr>
        <w:t>tıbbi ürünler;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ii) </w:t>
      </w:r>
      <w:r>
        <w:rPr>
          <w:rFonts w:cstheme="minorHAnsi"/>
          <w:bCs/>
          <w:sz w:val="24"/>
          <w:szCs w:val="24"/>
        </w:rPr>
        <w:t>Belirli bir miktarda ürün içeren t</w:t>
      </w:r>
      <w:r w:rsidRPr="0017250A">
        <w:rPr>
          <w:rFonts w:cstheme="minorHAnsi"/>
          <w:bCs/>
          <w:sz w:val="24"/>
          <w:szCs w:val="24"/>
        </w:rPr>
        <w:t xml:space="preserve">ek </w:t>
      </w:r>
      <w:r>
        <w:rPr>
          <w:rFonts w:cstheme="minorHAnsi"/>
          <w:bCs/>
          <w:sz w:val="24"/>
          <w:szCs w:val="24"/>
        </w:rPr>
        <w:t xml:space="preserve">bir </w:t>
      </w:r>
      <w:r w:rsidRPr="0017250A">
        <w:rPr>
          <w:rFonts w:cstheme="minorHAnsi"/>
          <w:bCs/>
          <w:sz w:val="24"/>
          <w:szCs w:val="24"/>
        </w:rPr>
        <w:t xml:space="preserve">uygulama </w:t>
      </w:r>
      <w:r>
        <w:rPr>
          <w:rFonts w:cstheme="minorHAnsi"/>
          <w:bCs/>
          <w:sz w:val="24"/>
          <w:szCs w:val="24"/>
        </w:rPr>
        <w:t>ile</w:t>
      </w:r>
      <w:r w:rsidRPr="0017250A">
        <w:rPr>
          <w:rFonts w:cstheme="minorHAnsi"/>
          <w:bCs/>
          <w:sz w:val="24"/>
          <w:szCs w:val="24"/>
        </w:rPr>
        <w:t xml:space="preserve"> kullanım amacın</w:t>
      </w:r>
      <w:r>
        <w:rPr>
          <w:rFonts w:cstheme="minorHAnsi"/>
          <w:bCs/>
          <w:sz w:val="24"/>
          <w:szCs w:val="24"/>
        </w:rPr>
        <w:t xml:space="preserve">a sahip beşeri </w:t>
      </w:r>
      <w:r w:rsidRPr="0017250A">
        <w:rPr>
          <w:rFonts w:cstheme="minorHAnsi"/>
          <w:bCs/>
          <w:sz w:val="24"/>
          <w:szCs w:val="24"/>
        </w:rPr>
        <w:t>tıbbi ürünler</w:t>
      </w:r>
      <w:r w:rsidR="009430E2">
        <w:rPr>
          <w:rFonts w:cstheme="minorHAnsi"/>
          <w:bCs/>
          <w:sz w:val="24"/>
          <w:szCs w:val="24"/>
        </w:rPr>
        <w:t xml:space="preserve">. Verilecek olan doz genellikle hastaya göre </w:t>
      </w:r>
      <w:r w:rsidRPr="0017250A">
        <w:rPr>
          <w:rFonts w:cstheme="minorHAnsi"/>
          <w:bCs/>
          <w:sz w:val="24"/>
          <w:szCs w:val="24"/>
        </w:rPr>
        <w:t>hesaplanır (mg/kg vücut ağırlığı olarak, mg/m² olar</w:t>
      </w:r>
      <w:r>
        <w:rPr>
          <w:rFonts w:cstheme="minorHAnsi"/>
          <w:bCs/>
          <w:sz w:val="24"/>
          <w:szCs w:val="24"/>
        </w:rPr>
        <w:t xml:space="preserve">ak) ve preparatın kullanılmayan kısmı atılır </w:t>
      </w:r>
      <w:r w:rsidRPr="0017250A">
        <w:rPr>
          <w:rFonts w:cstheme="minorHAnsi"/>
          <w:bCs/>
          <w:sz w:val="24"/>
          <w:szCs w:val="24"/>
        </w:rPr>
        <w:t xml:space="preserve">(“kısmi kullanım”). İlacın verilmesi uygun bir ölçüm </w:t>
      </w:r>
      <w:r>
        <w:rPr>
          <w:rFonts w:cstheme="minorHAnsi"/>
          <w:bCs/>
          <w:sz w:val="24"/>
          <w:szCs w:val="24"/>
        </w:rPr>
        <w:t>cihazı</w:t>
      </w:r>
      <w:r w:rsidRPr="0017250A">
        <w:rPr>
          <w:rFonts w:cstheme="minorHAnsi"/>
          <w:bCs/>
          <w:sz w:val="24"/>
          <w:szCs w:val="24"/>
        </w:rPr>
        <w:t xml:space="preserve"> ile sağlanabilir.</w:t>
      </w:r>
    </w:p>
    <w:p w:rsidR="00E27AE4" w:rsidRPr="00200977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i/>
          <w:sz w:val="24"/>
          <w:szCs w:val="24"/>
        </w:rPr>
      </w:pPr>
      <w:r w:rsidRPr="00200977">
        <w:rPr>
          <w:rFonts w:cstheme="minorHAnsi"/>
          <w:bCs/>
          <w:i/>
          <w:sz w:val="24"/>
          <w:szCs w:val="24"/>
        </w:rPr>
        <w:t>b) Çok dozlu preparatlar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Çok dozlu kaplarda tedarik edilen ve genellikle uygun bir ölçüm cihazı ile (kaşık, dereceli boş enjektör, </w:t>
      </w:r>
      <w:proofErr w:type="spellStart"/>
      <w:r w:rsidRPr="0017250A">
        <w:rPr>
          <w:rFonts w:cstheme="minorHAnsi"/>
          <w:bCs/>
          <w:sz w:val="24"/>
          <w:szCs w:val="24"/>
        </w:rPr>
        <w:t>dozlama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kabı) kullanıma sunulan iki ya da daha fazla doz içeren preparatlardır (şişe, tüp, büyük </w:t>
      </w:r>
      <w:proofErr w:type="spellStart"/>
      <w:r w:rsidRPr="0017250A">
        <w:rPr>
          <w:rFonts w:cstheme="minorHAnsi"/>
          <w:bCs/>
          <w:sz w:val="24"/>
          <w:szCs w:val="24"/>
        </w:rPr>
        <w:t>flakon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, kalem kartuşu). 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Bu preparatlar yardımcı maddeler (örneğin, koruyucular) açısından sıklıkla eşdeğer tek dozlu bir preparattan daha farklı bir bileşime sahiptirler. 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Çoklu dozdan tek doza olan değişiklik veya tam tersi bir değişiklik her zaman “Çeşitleme Başvurusu” sonucunu doğurur (hem ilave hem de yenisiyle değiştirme için).  </w:t>
      </w:r>
    </w:p>
    <w:p w:rsidR="00E27AE4" w:rsidRPr="00200977" w:rsidRDefault="00E27AE4" w:rsidP="00E27AE4">
      <w:pPr>
        <w:spacing w:after="120" w:line="276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200977">
        <w:rPr>
          <w:rFonts w:cstheme="minorHAnsi"/>
          <w:b/>
          <w:bCs/>
          <w:sz w:val="24"/>
          <w:szCs w:val="24"/>
        </w:rPr>
        <w:t xml:space="preserve">2) </w:t>
      </w:r>
      <w:proofErr w:type="spellStart"/>
      <w:r w:rsidRPr="00200977">
        <w:rPr>
          <w:rFonts w:cstheme="minorHAnsi"/>
          <w:b/>
          <w:bCs/>
          <w:sz w:val="24"/>
          <w:szCs w:val="24"/>
        </w:rPr>
        <w:t>Yitilik</w:t>
      </w:r>
      <w:proofErr w:type="spellEnd"/>
      <w:r w:rsidRPr="00200977">
        <w:rPr>
          <w:rFonts w:cstheme="minorHAnsi"/>
          <w:b/>
          <w:bCs/>
          <w:sz w:val="24"/>
          <w:szCs w:val="24"/>
        </w:rPr>
        <w:t xml:space="preserve"> 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Etkin madde açısından </w:t>
      </w:r>
      <w:proofErr w:type="gramStart"/>
      <w:r w:rsidRPr="0017250A">
        <w:rPr>
          <w:rFonts w:cstheme="minorHAnsi"/>
          <w:bCs/>
          <w:sz w:val="24"/>
          <w:szCs w:val="24"/>
        </w:rPr>
        <w:t>kantitatif</w:t>
      </w:r>
      <w:proofErr w:type="gramEnd"/>
      <w:r w:rsidRPr="0017250A">
        <w:rPr>
          <w:rFonts w:cstheme="minorHAnsi"/>
          <w:bCs/>
          <w:sz w:val="24"/>
          <w:szCs w:val="24"/>
        </w:rPr>
        <w:t xml:space="preserve"> bileşim, </w:t>
      </w:r>
      <w:proofErr w:type="spellStart"/>
      <w:r w:rsidRPr="0017250A">
        <w:rPr>
          <w:rFonts w:cstheme="minorHAnsi"/>
          <w:bCs/>
          <w:sz w:val="24"/>
          <w:szCs w:val="24"/>
        </w:rPr>
        <w:t>yitiliği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temsil etmektedir. </w:t>
      </w:r>
      <w:proofErr w:type="spellStart"/>
      <w:r w:rsidRPr="0017250A">
        <w:rPr>
          <w:rFonts w:cstheme="minorHAnsi"/>
          <w:bCs/>
          <w:sz w:val="24"/>
          <w:szCs w:val="24"/>
        </w:rPr>
        <w:t>Yitilik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kavramı ile </w:t>
      </w:r>
      <w:proofErr w:type="gramStart"/>
      <w:r w:rsidRPr="0017250A">
        <w:rPr>
          <w:rFonts w:cstheme="minorHAnsi"/>
          <w:bCs/>
          <w:sz w:val="24"/>
          <w:szCs w:val="24"/>
        </w:rPr>
        <w:t>konsantrasyon</w:t>
      </w:r>
      <w:proofErr w:type="gramEnd"/>
      <w:r w:rsidRPr="0017250A">
        <w:rPr>
          <w:rFonts w:cstheme="minorHAnsi"/>
          <w:bCs/>
          <w:sz w:val="24"/>
          <w:szCs w:val="24"/>
        </w:rPr>
        <w:t xml:space="preserve"> kavramı niteliksel olarak bağlantılıdır. </w:t>
      </w:r>
      <w:proofErr w:type="spellStart"/>
      <w:r w:rsidRPr="0017250A">
        <w:rPr>
          <w:rFonts w:cstheme="minorHAnsi"/>
          <w:bCs/>
          <w:sz w:val="24"/>
          <w:szCs w:val="24"/>
        </w:rPr>
        <w:t>Yitilik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birim başına doz veya </w:t>
      </w:r>
      <w:proofErr w:type="gramStart"/>
      <w:r w:rsidRPr="0017250A">
        <w:rPr>
          <w:rFonts w:cstheme="minorHAnsi"/>
          <w:bCs/>
          <w:sz w:val="24"/>
          <w:szCs w:val="24"/>
        </w:rPr>
        <w:t>konsantrasyon</w:t>
      </w:r>
      <w:proofErr w:type="gramEnd"/>
      <w:r w:rsidRPr="0017250A">
        <w:rPr>
          <w:rFonts w:cstheme="minorHAnsi"/>
          <w:bCs/>
          <w:sz w:val="24"/>
          <w:szCs w:val="24"/>
        </w:rPr>
        <w:t xml:space="preserve"> olarak tanımlanabilen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şekildeki etkin madde miktarını temsil etmektedir. Konsantrasyon kütle (örneğin, 250 mg/g) başına veya hacim birimi (örneğin, 2 mg/</w:t>
      </w:r>
      <w:proofErr w:type="spellStart"/>
      <w:r w:rsidRPr="0017250A">
        <w:rPr>
          <w:rFonts w:cstheme="minorHAnsi"/>
          <w:bCs/>
          <w:sz w:val="24"/>
          <w:szCs w:val="24"/>
        </w:rPr>
        <w:t>mL</w:t>
      </w:r>
      <w:proofErr w:type="spellEnd"/>
      <w:r w:rsidRPr="0017250A">
        <w:rPr>
          <w:rFonts w:cstheme="minorHAnsi"/>
          <w:bCs/>
          <w:sz w:val="24"/>
          <w:szCs w:val="24"/>
        </w:rPr>
        <w:t>) başına veya yüzde  (örneğin, % 5) olarak ifade edilebilir. Bu Kılavuzun amaçları doğrultusunda: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  </w:t>
      </w:r>
      <w:r w:rsidRPr="0017250A">
        <w:rPr>
          <w:rFonts w:cstheme="minorHAnsi"/>
          <w:bCs/>
          <w:sz w:val="24"/>
          <w:szCs w:val="24"/>
        </w:rPr>
        <w:t xml:space="preserve">Tek dozlu preparatların toplam kullanımı için </w:t>
      </w:r>
      <w:proofErr w:type="spellStart"/>
      <w:r w:rsidRPr="0017250A">
        <w:rPr>
          <w:rFonts w:cstheme="minorHAnsi"/>
          <w:bCs/>
          <w:sz w:val="24"/>
          <w:szCs w:val="24"/>
        </w:rPr>
        <w:t>yitilik</w:t>
      </w:r>
      <w:proofErr w:type="spellEnd"/>
      <w:r w:rsidRPr="0017250A">
        <w:rPr>
          <w:rFonts w:cstheme="minorHAnsi"/>
          <w:bCs/>
          <w:sz w:val="24"/>
          <w:szCs w:val="24"/>
        </w:rPr>
        <w:t>; birim doz başına etkin madde miktarı olarak tanımlanır.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-  Tek dozlu preparatların kısmi kullanımı için </w:t>
      </w:r>
      <w:proofErr w:type="spellStart"/>
      <w:r w:rsidRPr="0017250A">
        <w:rPr>
          <w:rFonts w:cstheme="minorHAnsi"/>
          <w:bCs/>
          <w:sz w:val="24"/>
          <w:szCs w:val="24"/>
        </w:rPr>
        <w:t>yitilik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; uygun olduğu şekilde, </w:t>
      </w:r>
      <w:proofErr w:type="spellStart"/>
      <w:r w:rsidRPr="0017250A">
        <w:rPr>
          <w:rFonts w:cstheme="minorHAnsi"/>
          <w:bCs/>
          <w:sz w:val="24"/>
          <w:szCs w:val="24"/>
        </w:rPr>
        <w:t>mL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başına, püskürtme başına, damla başına, kg başına, m² başına, yüzde olarak etkin madde miktarı şeklinde ifade edilen </w:t>
      </w:r>
      <w:proofErr w:type="gramStart"/>
      <w:r w:rsidRPr="0017250A">
        <w:rPr>
          <w:rFonts w:cstheme="minorHAnsi"/>
          <w:bCs/>
          <w:sz w:val="24"/>
          <w:szCs w:val="24"/>
        </w:rPr>
        <w:t>konsantrasyon</w:t>
      </w:r>
      <w:proofErr w:type="gramEnd"/>
      <w:r w:rsidRPr="0017250A">
        <w:rPr>
          <w:rFonts w:cstheme="minorHAnsi"/>
          <w:bCs/>
          <w:sz w:val="24"/>
          <w:szCs w:val="24"/>
        </w:rPr>
        <w:t xml:space="preserve"> olarak tanımlanır.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-Çok dozlu preparatlar için </w:t>
      </w:r>
      <w:proofErr w:type="spellStart"/>
      <w:r w:rsidRPr="0017250A">
        <w:rPr>
          <w:rFonts w:cstheme="minorHAnsi"/>
          <w:bCs/>
          <w:sz w:val="24"/>
          <w:szCs w:val="24"/>
        </w:rPr>
        <w:t>yitilik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; uygun olduğu şekilde, </w:t>
      </w:r>
      <w:proofErr w:type="spellStart"/>
      <w:r w:rsidRPr="0017250A">
        <w:rPr>
          <w:rFonts w:cstheme="minorHAnsi"/>
          <w:bCs/>
          <w:sz w:val="24"/>
          <w:szCs w:val="24"/>
        </w:rPr>
        <w:t>mL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başına, püskürtme başına, damla başına, kg başına, m² başına, etkin madde miktarı şeklinde ifade edilen </w:t>
      </w:r>
      <w:proofErr w:type="gramStart"/>
      <w:r w:rsidRPr="0017250A">
        <w:rPr>
          <w:rFonts w:cstheme="minorHAnsi"/>
          <w:bCs/>
          <w:sz w:val="24"/>
          <w:szCs w:val="24"/>
        </w:rPr>
        <w:t>konsantrasyon</w:t>
      </w:r>
      <w:proofErr w:type="gramEnd"/>
      <w:r w:rsidRPr="0017250A">
        <w:rPr>
          <w:rFonts w:cstheme="minorHAnsi"/>
          <w:bCs/>
          <w:sz w:val="24"/>
          <w:szCs w:val="24"/>
        </w:rPr>
        <w:t xml:space="preserve"> olarak tanımlanır.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lastRenderedPageBreak/>
        <w:t>-</w:t>
      </w:r>
      <w:proofErr w:type="spellStart"/>
      <w:r w:rsidRPr="0017250A">
        <w:rPr>
          <w:rFonts w:cstheme="minorHAnsi"/>
          <w:bCs/>
          <w:sz w:val="24"/>
          <w:szCs w:val="24"/>
        </w:rPr>
        <w:t>Rekonstitüsyon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için toz (oral çözelti veya süspansiyon için toz, </w:t>
      </w:r>
      <w:proofErr w:type="spellStart"/>
      <w:r w:rsidRPr="0017250A">
        <w:rPr>
          <w:rFonts w:cstheme="minorHAnsi"/>
          <w:bCs/>
          <w:sz w:val="24"/>
          <w:szCs w:val="24"/>
        </w:rPr>
        <w:t>enjeksiyonluk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çözelti için toz vb.) için </w:t>
      </w:r>
      <w:proofErr w:type="spellStart"/>
      <w:r w:rsidRPr="0017250A">
        <w:rPr>
          <w:rFonts w:cstheme="minorHAnsi"/>
          <w:bCs/>
          <w:sz w:val="24"/>
          <w:szCs w:val="24"/>
        </w:rPr>
        <w:t>yitilik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; önerilen hacme ya da sıvıya çözünme veya süspansiyon hazırlanmasından sonraki </w:t>
      </w:r>
      <w:r>
        <w:rPr>
          <w:rFonts w:cstheme="minorHAnsi"/>
          <w:bCs/>
          <w:sz w:val="24"/>
          <w:szCs w:val="24"/>
        </w:rPr>
        <w:t>(</w:t>
      </w:r>
      <w:proofErr w:type="spellStart"/>
      <w:r>
        <w:rPr>
          <w:rFonts w:cstheme="minorHAnsi"/>
          <w:bCs/>
          <w:sz w:val="24"/>
          <w:szCs w:val="24"/>
        </w:rPr>
        <w:t>re</w:t>
      </w:r>
      <w:r w:rsidRPr="0017250A">
        <w:rPr>
          <w:rFonts w:cstheme="minorHAnsi"/>
          <w:bCs/>
          <w:sz w:val="24"/>
          <w:szCs w:val="24"/>
        </w:rPr>
        <w:t>konstitüsyon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) </w:t>
      </w:r>
      <w:proofErr w:type="gramStart"/>
      <w:r w:rsidRPr="0017250A">
        <w:rPr>
          <w:rFonts w:cstheme="minorHAnsi"/>
          <w:bCs/>
          <w:sz w:val="24"/>
          <w:szCs w:val="24"/>
        </w:rPr>
        <w:t>konsantrasyon</w:t>
      </w:r>
      <w:proofErr w:type="gramEnd"/>
      <w:r w:rsidRPr="0017250A">
        <w:rPr>
          <w:rFonts w:cstheme="minorHAnsi"/>
          <w:bCs/>
          <w:sz w:val="24"/>
          <w:szCs w:val="24"/>
        </w:rPr>
        <w:t xml:space="preserve"> olarak tanımlanır.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-Konsantre çözeltiler (</w:t>
      </w:r>
      <w:proofErr w:type="gramStart"/>
      <w:r w:rsidRPr="0017250A">
        <w:rPr>
          <w:rFonts w:cstheme="minorHAnsi"/>
          <w:bCs/>
          <w:sz w:val="24"/>
          <w:szCs w:val="24"/>
        </w:rPr>
        <w:t>enjeksiyon</w:t>
      </w:r>
      <w:proofErr w:type="gramEnd"/>
      <w:r w:rsidRPr="0017250A">
        <w:rPr>
          <w:rFonts w:cstheme="minorHAnsi"/>
          <w:bCs/>
          <w:sz w:val="24"/>
          <w:szCs w:val="24"/>
        </w:rPr>
        <w:t xml:space="preserve"> için veya </w:t>
      </w:r>
      <w:proofErr w:type="spellStart"/>
      <w:r w:rsidRPr="0017250A">
        <w:rPr>
          <w:rFonts w:cstheme="minorHAnsi"/>
          <w:bCs/>
          <w:sz w:val="24"/>
          <w:szCs w:val="24"/>
        </w:rPr>
        <w:t>infüzyon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için) için </w:t>
      </w:r>
      <w:proofErr w:type="spellStart"/>
      <w:r w:rsidRPr="0017250A">
        <w:rPr>
          <w:rFonts w:cstheme="minorHAnsi"/>
          <w:bCs/>
          <w:sz w:val="24"/>
          <w:szCs w:val="24"/>
        </w:rPr>
        <w:t>yitilik</w:t>
      </w:r>
      <w:proofErr w:type="spellEnd"/>
      <w:r w:rsidRPr="0017250A">
        <w:rPr>
          <w:rFonts w:cstheme="minorHAnsi"/>
          <w:bCs/>
          <w:sz w:val="24"/>
          <w:szCs w:val="24"/>
        </w:rPr>
        <w:t>; seyreltmeden önce konsantre çözeltinin konsantrasyonu olarak tanımlanır.</w:t>
      </w:r>
    </w:p>
    <w:p w:rsidR="00E27AE4" w:rsidRPr="0017250A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-</w:t>
      </w:r>
      <w:proofErr w:type="spellStart"/>
      <w:r w:rsidRPr="0017250A">
        <w:rPr>
          <w:rFonts w:cstheme="minorHAnsi"/>
          <w:bCs/>
          <w:sz w:val="24"/>
          <w:szCs w:val="24"/>
        </w:rPr>
        <w:t>Transdermal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yamalar için </w:t>
      </w:r>
      <w:proofErr w:type="spellStart"/>
      <w:r>
        <w:rPr>
          <w:rFonts w:cstheme="minorHAnsi"/>
          <w:bCs/>
          <w:sz w:val="24"/>
          <w:szCs w:val="24"/>
        </w:rPr>
        <w:t>yitilik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; </w:t>
      </w:r>
      <w:proofErr w:type="spellStart"/>
      <w:r w:rsidRPr="0017250A">
        <w:rPr>
          <w:rFonts w:cstheme="minorHAnsi"/>
          <w:bCs/>
          <w:sz w:val="24"/>
          <w:szCs w:val="24"/>
        </w:rPr>
        <w:t>flasterden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24 saat içinde salınan etkin madde miktarı olarak tanımlanır.       </w:t>
      </w:r>
    </w:p>
    <w:p w:rsidR="00E27AE4" w:rsidRPr="00C41921" w:rsidRDefault="00E27AE4" w:rsidP="00E27AE4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C41921">
        <w:rPr>
          <w:rFonts w:cstheme="minorHAnsi"/>
          <w:bCs/>
          <w:sz w:val="24"/>
          <w:szCs w:val="24"/>
        </w:rPr>
        <w:t xml:space="preserve">Farklı bir </w:t>
      </w:r>
      <w:proofErr w:type="spellStart"/>
      <w:r w:rsidRPr="00C41921">
        <w:rPr>
          <w:rFonts w:cstheme="minorHAnsi"/>
          <w:bCs/>
          <w:sz w:val="24"/>
          <w:szCs w:val="24"/>
        </w:rPr>
        <w:t>yitilik</w:t>
      </w:r>
      <w:proofErr w:type="spellEnd"/>
      <w:r w:rsidRPr="00C41921">
        <w:rPr>
          <w:rFonts w:cstheme="minorHAnsi"/>
          <w:bCs/>
          <w:sz w:val="24"/>
          <w:szCs w:val="24"/>
        </w:rPr>
        <w:t xml:space="preserve"> (yukarıda tanımlandığı gibi) </w:t>
      </w:r>
      <w:r w:rsidRPr="00C41921">
        <w:rPr>
          <w:rFonts w:cstheme="minorHAnsi"/>
          <w:sz w:val="24"/>
          <w:szCs w:val="24"/>
        </w:rPr>
        <w:t>veya</w:t>
      </w:r>
      <w:r>
        <w:rPr>
          <w:rFonts w:cstheme="minorHAnsi"/>
          <w:bCs/>
          <w:i/>
          <w:sz w:val="24"/>
          <w:szCs w:val="24"/>
        </w:rPr>
        <w:t xml:space="preserve"> </w:t>
      </w:r>
      <w:r w:rsidRPr="00011643">
        <w:rPr>
          <w:rFonts w:cstheme="minorHAnsi"/>
          <w:bCs/>
          <w:i/>
          <w:sz w:val="24"/>
          <w:szCs w:val="24"/>
        </w:rPr>
        <w:t>Ruhsatlı Beşeri Tıbbi Ürünlerdeki Varyasyonlara Dair Yönetmelik</w:t>
      </w:r>
      <w:r w:rsidRPr="00C41921">
        <w:rPr>
          <w:rFonts w:cstheme="minorHAnsi"/>
          <w:bCs/>
          <w:sz w:val="24"/>
          <w:szCs w:val="24"/>
        </w:rPr>
        <w:t xml:space="preserve"> ek- 1’de tanımlanan etkin madde(</w:t>
      </w:r>
      <w:proofErr w:type="spellStart"/>
      <w:r w:rsidRPr="00C41921">
        <w:rPr>
          <w:rFonts w:cstheme="minorHAnsi"/>
          <w:bCs/>
          <w:sz w:val="24"/>
          <w:szCs w:val="24"/>
        </w:rPr>
        <w:t>le</w:t>
      </w:r>
      <w:r w:rsidR="004F2747">
        <w:rPr>
          <w:rFonts w:cstheme="minorHAnsi"/>
          <w:bCs/>
          <w:sz w:val="24"/>
          <w:szCs w:val="24"/>
        </w:rPr>
        <w:t>r</w:t>
      </w:r>
      <w:proofErr w:type="spellEnd"/>
      <w:r w:rsidR="004F2747">
        <w:rPr>
          <w:rFonts w:cstheme="minorHAnsi"/>
          <w:bCs/>
          <w:sz w:val="24"/>
          <w:szCs w:val="24"/>
        </w:rPr>
        <w:t>)deki tüm diğer değişiklikler çeşitleme b</w:t>
      </w:r>
      <w:r w:rsidRPr="00C41921">
        <w:rPr>
          <w:rFonts w:cstheme="minorHAnsi"/>
          <w:bCs/>
          <w:sz w:val="24"/>
          <w:szCs w:val="24"/>
        </w:rPr>
        <w:t>aşvurusu sonucunu doğurur.</w:t>
      </w:r>
    </w:p>
    <w:p w:rsidR="00E27AE4" w:rsidRPr="00200977" w:rsidRDefault="00E27AE4" w:rsidP="00E27AE4">
      <w:pPr>
        <w:spacing w:after="120" w:line="276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200977">
        <w:rPr>
          <w:rFonts w:cstheme="minorHAnsi"/>
          <w:b/>
          <w:bCs/>
          <w:sz w:val="24"/>
          <w:szCs w:val="24"/>
        </w:rPr>
        <w:t>3) Sunum</w:t>
      </w:r>
    </w:p>
    <w:p w:rsidR="00DD435D" w:rsidRDefault="00E27AE4" w:rsidP="004F2747">
      <w:pPr>
        <w:ind w:firstLine="708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Kap büyüklüğünü (dolum hacmini / dolum ağırlığını) ve/veya ambalaj büyüklüğünü kap</w:t>
      </w:r>
      <w:r w:rsidR="009430E2">
        <w:rPr>
          <w:rFonts w:cstheme="minorHAnsi"/>
          <w:bCs/>
          <w:sz w:val="24"/>
          <w:szCs w:val="24"/>
        </w:rPr>
        <w:t xml:space="preserve">sar. Ambalaj büyüklüğü, her </w:t>
      </w:r>
      <w:r w:rsidRPr="0017250A">
        <w:rPr>
          <w:rFonts w:cstheme="minorHAnsi"/>
          <w:bCs/>
          <w:sz w:val="24"/>
          <w:szCs w:val="24"/>
        </w:rPr>
        <w:t xml:space="preserve">dış ambalaj için tablet sayısına, </w:t>
      </w:r>
      <w:proofErr w:type="spellStart"/>
      <w:r w:rsidRPr="0017250A">
        <w:rPr>
          <w:rFonts w:cstheme="minorHAnsi"/>
          <w:bCs/>
          <w:sz w:val="24"/>
          <w:szCs w:val="24"/>
        </w:rPr>
        <w:t>saşe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sayısına, ampul sayısına vb.</w:t>
      </w:r>
      <w:r w:rsidR="009430E2">
        <w:rPr>
          <w:rFonts w:cstheme="minorHAnsi"/>
          <w:bCs/>
          <w:sz w:val="24"/>
          <w:szCs w:val="24"/>
        </w:rPr>
        <w:t xml:space="preserve"> eşittir.</w:t>
      </w:r>
    </w:p>
    <w:p w:rsidR="009430E2" w:rsidRPr="0017250A" w:rsidRDefault="009430E2" w:rsidP="009430E2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Koşulları </w:t>
      </w:r>
      <w:bookmarkStart w:id="0" w:name="_GoBack"/>
      <w:r w:rsidRPr="00011643">
        <w:rPr>
          <w:rFonts w:cstheme="minorHAnsi"/>
          <w:bCs/>
          <w:i/>
          <w:sz w:val="24"/>
          <w:szCs w:val="24"/>
        </w:rPr>
        <w:t>Ruhsatlı Beşeri Tıbbi Ürünlerdeki Varyasyonlara Dair Kılavuz</w:t>
      </w:r>
      <w:bookmarkEnd w:id="0"/>
      <w:r w:rsidRPr="0073531E">
        <w:rPr>
          <w:rFonts w:cstheme="minorHAnsi"/>
          <w:bCs/>
          <w:sz w:val="24"/>
          <w:szCs w:val="24"/>
        </w:rPr>
        <w:t>’da</w:t>
      </w:r>
      <w:r>
        <w:rPr>
          <w:rFonts w:cstheme="minorHAnsi"/>
          <w:bCs/>
          <w:sz w:val="24"/>
          <w:szCs w:val="24"/>
        </w:rPr>
        <w:t xml:space="preserve"> </w:t>
      </w:r>
      <w:r w:rsidRPr="0017250A">
        <w:rPr>
          <w:rFonts w:cstheme="minorHAnsi"/>
          <w:bCs/>
          <w:sz w:val="24"/>
          <w:szCs w:val="24"/>
        </w:rPr>
        <w:t>detaylandırılmıştır. Farklı bir ambalaj büyüklüğü (</w:t>
      </w:r>
      <w:proofErr w:type="spellStart"/>
      <w:r w:rsidRPr="0017250A">
        <w:rPr>
          <w:rFonts w:cstheme="minorHAnsi"/>
          <w:bCs/>
          <w:sz w:val="24"/>
          <w:szCs w:val="24"/>
        </w:rPr>
        <w:t>parenteraller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de dâhil olmak üzere), değişikliğin hâlihazırda onaylanmış ambalaj büyüklüğü sınırlarının içinde ya da dışında olmasına bağlı olarak, Tip IA veya Tip IB sonucunu doğurur. </w:t>
      </w:r>
      <w:proofErr w:type="spellStart"/>
      <w:r w:rsidRPr="0017250A">
        <w:rPr>
          <w:rFonts w:cstheme="minorHAnsi"/>
          <w:bCs/>
          <w:sz w:val="24"/>
          <w:szCs w:val="24"/>
        </w:rPr>
        <w:t>Parenteral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olmayan çok dozlu ürünlerinin dolum hacmindeki / dolum ağırlığındaki bir değişiklik ise Tip IB değişikliktir. </w:t>
      </w:r>
      <w:proofErr w:type="spellStart"/>
      <w:r w:rsidRPr="009430E2">
        <w:rPr>
          <w:rFonts w:cstheme="minorHAnsi"/>
          <w:bCs/>
          <w:sz w:val="24"/>
          <w:szCs w:val="24"/>
        </w:rPr>
        <w:t>Parenteral</w:t>
      </w:r>
      <w:proofErr w:type="spellEnd"/>
      <w:r w:rsidRPr="009430E2">
        <w:rPr>
          <w:rFonts w:cstheme="minorHAnsi"/>
          <w:bCs/>
          <w:sz w:val="24"/>
          <w:szCs w:val="24"/>
        </w:rPr>
        <w:t xml:space="preserve"> olan çok dozlu ürünlerinin dolum hacmindeki / dolum ağırlığındaki bir değişiklik ise Tip II değişikliktir.</w:t>
      </w:r>
      <w:r w:rsidRPr="0017250A">
        <w:rPr>
          <w:rFonts w:cstheme="minorHAnsi"/>
          <w:bCs/>
          <w:sz w:val="24"/>
          <w:szCs w:val="24"/>
        </w:rPr>
        <w:t xml:space="preserve"> </w:t>
      </w:r>
    </w:p>
    <w:p w:rsidR="009430E2" w:rsidRPr="00200977" w:rsidRDefault="009430E2" w:rsidP="009430E2">
      <w:pPr>
        <w:spacing w:after="120" w:line="276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200977">
        <w:rPr>
          <w:rFonts w:cstheme="minorHAnsi"/>
          <w:b/>
          <w:bCs/>
          <w:sz w:val="24"/>
          <w:szCs w:val="24"/>
        </w:rPr>
        <w:t>4) Uygulama yolu</w:t>
      </w:r>
    </w:p>
    <w:p w:rsidR="009430E2" w:rsidRPr="0017250A" w:rsidRDefault="009430E2" w:rsidP="009430E2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Uygulama yolu EDQM Standart Terimlerde tanımlanmıştır. </w:t>
      </w:r>
    </w:p>
    <w:p w:rsidR="009430E2" w:rsidRPr="0017250A" w:rsidRDefault="009430E2" w:rsidP="009430E2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Bir beşeri tıbbi ürün birden fazla uygulama yolu ile verilebilmek amacıyla tasarlanmış olabilir. </w:t>
      </w:r>
    </w:p>
    <w:p w:rsidR="009430E2" w:rsidRPr="0017250A" w:rsidRDefault="009430E2" w:rsidP="009430E2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Uygulama yolundaki bir değişiklik ya da ilave Çeşitleme Başvurusu sonucunu doğurur.</w:t>
      </w:r>
    </w:p>
    <w:p w:rsidR="00764E1E" w:rsidRPr="00200977" w:rsidRDefault="00764E1E" w:rsidP="00764E1E">
      <w:pPr>
        <w:spacing w:after="120" w:line="276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200977">
        <w:rPr>
          <w:rFonts w:cstheme="minorHAnsi"/>
          <w:b/>
          <w:bCs/>
          <w:sz w:val="24"/>
          <w:szCs w:val="24"/>
        </w:rPr>
        <w:t>5) Tıbbi cihazların dâhil olması</w:t>
      </w:r>
    </w:p>
    <w:p w:rsidR="00764E1E" w:rsidRPr="0017250A" w:rsidRDefault="00764E1E" w:rsidP="00764E1E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proofErr w:type="spellStart"/>
      <w:r w:rsidRPr="0017250A">
        <w:rPr>
          <w:rFonts w:cstheme="minorHAnsi"/>
          <w:bCs/>
          <w:sz w:val="24"/>
          <w:szCs w:val="24"/>
        </w:rPr>
        <w:t>Primer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ambalaja ait bütünün ayrılamaz bir parçasını oluşturmayan ölçme veya uygulama cihazlarının ilavesi, </w:t>
      </w:r>
      <w:r>
        <w:rPr>
          <w:rFonts w:cstheme="minorHAnsi"/>
          <w:bCs/>
          <w:sz w:val="24"/>
          <w:szCs w:val="24"/>
        </w:rPr>
        <w:t xml:space="preserve">değiştirilmesi </w:t>
      </w:r>
      <w:r w:rsidRPr="0017250A">
        <w:rPr>
          <w:rFonts w:cstheme="minorHAnsi"/>
          <w:bCs/>
          <w:sz w:val="24"/>
          <w:szCs w:val="24"/>
        </w:rPr>
        <w:t xml:space="preserve">ya da çıkarılması, </w:t>
      </w:r>
      <w:r>
        <w:rPr>
          <w:rFonts w:cstheme="minorHAnsi"/>
          <w:bCs/>
          <w:sz w:val="24"/>
          <w:szCs w:val="24"/>
        </w:rPr>
        <w:t xml:space="preserve">beşeri </w:t>
      </w:r>
      <w:r w:rsidRPr="0017250A">
        <w:rPr>
          <w:rFonts w:cstheme="minorHAnsi"/>
          <w:bCs/>
          <w:sz w:val="24"/>
          <w:szCs w:val="24"/>
        </w:rPr>
        <w:t xml:space="preserve">tıbbi ürünler için Tip IA veya Tip </w:t>
      </w:r>
      <w:proofErr w:type="spellStart"/>
      <w:r w:rsidRPr="0017250A">
        <w:rPr>
          <w:rFonts w:cstheme="minorHAnsi"/>
          <w:bCs/>
          <w:sz w:val="24"/>
          <w:szCs w:val="24"/>
        </w:rPr>
        <w:t>IB</w:t>
      </w:r>
      <w:r>
        <w:rPr>
          <w:rFonts w:cstheme="minorHAnsi"/>
          <w:bCs/>
          <w:sz w:val="24"/>
          <w:szCs w:val="24"/>
        </w:rPr>
        <w:t>’</w:t>
      </w:r>
      <w:r w:rsidRPr="0017250A">
        <w:rPr>
          <w:rFonts w:cstheme="minorHAnsi"/>
          <w:bCs/>
          <w:sz w:val="24"/>
          <w:szCs w:val="24"/>
        </w:rPr>
        <w:t>dir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. Buna iğneler, </w:t>
      </w:r>
      <w:proofErr w:type="spellStart"/>
      <w:r w:rsidRPr="0017250A">
        <w:rPr>
          <w:rFonts w:cstheme="minorHAnsi"/>
          <w:bCs/>
          <w:sz w:val="24"/>
          <w:szCs w:val="24"/>
        </w:rPr>
        <w:t>f</w:t>
      </w:r>
      <w:r>
        <w:rPr>
          <w:rFonts w:cstheme="minorHAnsi"/>
          <w:bCs/>
          <w:sz w:val="24"/>
          <w:szCs w:val="24"/>
        </w:rPr>
        <w:t>lasterler</w:t>
      </w:r>
      <w:proofErr w:type="spellEnd"/>
      <w:r>
        <w:rPr>
          <w:rFonts w:cstheme="minorHAnsi"/>
          <w:bCs/>
          <w:sz w:val="24"/>
          <w:szCs w:val="24"/>
        </w:rPr>
        <w:t>, alkollü süngerler gibi ambalaj içindeki diğer materyallerin</w:t>
      </w:r>
      <w:r w:rsidRPr="0017250A">
        <w:rPr>
          <w:rFonts w:cstheme="minorHAnsi"/>
          <w:bCs/>
          <w:sz w:val="24"/>
          <w:szCs w:val="24"/>
        </w:rPr>
        <w:t xml:space="preserve"> ilavesi veya </w:t>
      </w:r>
      <w:r>
        <w:rPr>
          <w:rFonts w:cstheme="minorHAnsi"/>
          <w:bCs/>
          <w:sz w:val="24"/>
          <w:szCs w:val="24"/>
        </w:rPr>
        <w:t>değiştirilmesi</w:t>
      </w:r>
      <w:r w:rsidRPr="0017250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de</w:t>
      </w:r>
      <w:r w:rsidRPr="0017250A">
        <w:rPr>
          <w:rFonts w:cstheme="minorHAnsi"/>
          <w:bCs/>
          <w:sz w:val="24"/>
          <w:szCs w:val="24"/>
        </w:rPr>
        <w:t xml:space="preserve"> dâhildir. </w:t>
      </w:r>
    </w:p>
    <w:p w:rsidR="004F2747" w:rsidRDefault="004F2747" w:rsidP="004F2747">
      <w:pPr>
        <w:ind w:firstLine="708"/>
        <w:jc w:val="both"/>
        <w:rPr>
          <w:rFonts w:cstheme="minorHAnsi"/>
          <w:bCs/>
          <w:sz w:val="24"/>
          <w:szCs w:val="24"/>
        </w:rPr>
      </w:pPr>
      <w:r w:rsidRPr="004F2747">
        <w:rPr>
          <w:rFonts w:cstheme="minorHAnsi"/>
          <w:bCs/>
          <w:sz w:val="24"/>
          <w:szCs w:val="24"/>
        </w:rPr>
        <w:t xml:space="preserve">Ölçülü doz </w:t>
      </w:r>
      <w:proofErr w:type="spellStart"/>
      <w:r w:rsidRPr="004F2747">
        <w:rPr>
          <w:rFonts w:cstheme="minorHAnsi"/>
          <w:bCs/>
          <w:sz w:val="24"/>
          <w:szCs w:val="24"/>
        </w:rPr>
        <w:t>inhalerin</w:t>
      </w:r>
      <w:proofErr w:type="spellEnd"/>
      <w:r w:rsidRPr="004F2747">
        <w:rPr>
          <w:rFonts w:cstheme="minorHAnsi"/>
          <w:bCs/>
          <w:sz w:val="24"/>
          <w:szCs w:val="24"/>
        </w:rPr>
        <w:t xml:space="preserve"> </w:t>
      </w:r>
      <w:r w:rsidR="00042F3D">
        <w:rPr>
          <w:rFonts w:cstheme="minorHAnsi"/>
          <w:bCs/>
          <w:sz w:val="24"/>
          <w:szCs w:val="24"/>
        </w:rPr>
        <w:t>hava hazneli ara parçasında</w:t>
      </w:r>
      <w:r w:rsidRPr="004F2747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4F2747">
        <w:rPr>
          <w:rFonts w:cstheme="minorHAnsi"/>
          <w:bCs/>
          <w:sz w:val="24"/>
          <w:szCs w:val="24"/>
        </w:rPr>
        <w:t>spacer</w:t>
      </w:r>
      <w:proofErr w:type="spellEnd"/>
      <w:r w:rsidRPr="004F2747">
        <w:rPr>
          <w:rFonts w:cstheme="minorHAnsi"/>
          <w:bCs/>
          <w:sz w:val="24"/>
          <w:szCs w:val="24"/>
        </w:rPr>
        <w:t xml:space="preserve">) değişiklik veya ilave; cihaz tıbbi ürünün ayrılmaz bir parçası olmadıkça ve söz konusu cihazdaki değişiklik </w:t>
      </w:r>
      <w:r w:rsidRPr="0017250A">
        <w:rPr>
          <w:rFonts w:cstheme="minorHAnsi"/>
          <w:bCs/>
          <w:sz w:val="24"/>
          <w:szCs w:val="24"/>
        </w:rPr>
        <w:t xml:space="preserve">bir </w:t>
      </w:r>
      <w:r>
        <w:rPr>
          <w:rFonts w:cstheme="minorHAnsi"/>
          <w:bCs/>
          <w:sz w:val="24"/>
          <w:szCs w:val="24"/>
        </w:rPr>
        <w:t>çeşitleme b</w:t>
      </w:r>
      <w:r w:rsidRPr="0017250A">
        <w:rPr>
          <w:rFonts w:cstheme="minorHAnsi"/>
          <w:bCs/>
          <w:sz w:val="24"/>
          <w:szCs w:val="24"/>
        </w:rPr>
        <w:t xml:space="preserve">aşvurusunun sunulmasının gerekli olduğu </w:t>
      </w:r>
      <w:proofErr w:type="spellStart"/>
      <w:r>
        <w:rPr>
          <w:rFonts w:cstheme="minorHAnsi"/>
          <w:bCs/>
          <w:sz w:val="24"/>
          <w:szCs w:val="24"/>
        </w:rPr>
        <w:t>yitilik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şekil</w:t>
      </w:r>
      <w:r w:rsidRPr="0017250A">
        <w:rPr>
          <w:rFonts w:cstheme="minorHAnsi"/>
          <w:bCs/>
          <w:sz w:val="24"/>
          <w:szCs w:val="24"/>
        </w:rPr>
        <w:t xml:space="preserve"> veya uygulama yolunda değişikliğe yol açmadıkça</w:t>
      </w:r>
      <w:r>
        <w:rPr>
          <w:rFonts w:cstheme="minorHAnsi"/>
          <w:bCs/>
          <w:sz w:val="24"/>
          <w:szCs w:val="24"/>
        </w:rPr>
        <w:t xml:space="preserve"> Tip II değişiklik olarak değerlendirilir.</w:t>
      </w:r>
    </w:p>
    <w:p w:rsidR="004F2747" w:rsidRDefault="004F2747" w:rsidP="004F2747">
      <w:pPr>
        <w:spacing w:after="120" w:line="276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:rsidR="004F2747" w:rsidRPr="00200977" w:rsidRDefault="004F2747" w:rsidP="004F2747">
      <w:pPr>
        <w:spacing w:after="120" w:line="276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200977">
        <w:rPr>
          <w:rFonts w:cstheme="minorHAnsi"/>
          <w:b/>
          <w:bCs/>
          <w:sz w:val="24"/>
          <w:szCs w:val="24"/>
        </w:rPr>
        <w:lastRenderedPageBreak/>
        <w:t>B) ÖRNEKLER</w:t>
      </w:r>
    </w:p>
    <w:p w:rsidR="004F2747" w:rsidRPr="0017250A" w:rsidRDefault="004F2747" w:rsidP="004F2747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Notlar:</w:t>
      </w:r>
    </w:p>
    <w:p w:rsidR="004F2747" w:rsidRPr="0017250A" w:rsidRDefault="004F2747" w:rsidP="004F2747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• Aşağıdaki örnekler </w:t>
      </w:r>
      <w:proofErr w:type="spellStart"/>
      <w:r w:rsidRPr="0017250A">
        <w:rPr>
          <w:rFonts w:cstheme="minorHAnsi"/>
          <w:bCs/>
          <w:sz w:val="24"/>
          <w:szCs w:val="24"/>
        </w:rPr>
        <w:t>yitilik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veya </w:t>
      </w:r>
      <w:proofErr w:type="spellStart"/>
      <w:r w:rsidRPr="0017250A">
        <w:rPr>
          <w:rFonts w:cstheme="minorHAnsi"/>
          <w:bCs/>
          <w:sz w:val="24"/>
          <w:szCs w:val="24"/>
        </w:rPr>
        <w:t>farmasötik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 şeklin hem yenisiyle değiştirilmesine hem de ilavelerine uygulanır.</w:t>
      </w:r>
    </w:p>
    <w:p w:rsidR="004F2747" w:rsidRPr="0017250A" w:rsidRDefault="004F2747" w:rsidP="004F2747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• ÇB= Çeşitleme Başvurusu (</w:t>
      </w:r>
      <w:r>
        <w:rPr>
          <w:rFonts w:cstheme="minorHAnsi"/>
          <w:sz w:val="24"/>
          <w:szCs w:val="24"/>
        </w:rPr>
        <w:t>modifikasyona</w:t>
      </w:r>
      <w:r w:rsidRPr="000B3AA2">
        <w:rPr>
          <w:rFonts w:cstheme="minorHAnsi"/>
          <w:sz w:val="24"/>
          <w:szCs w:val="24"/>
        </w:rPr>
        <w:t xml:space="preserve"> veya mevcut bir ruhsatın </w:t>
      </w:r>
      <w:r>
        <w:rPr>
          <w:rFonts w:cstheme="minorHAnsi"/>
          <w:sz w:val="24"/>
          <w:szCs w:val="24"/>
        </w:rPr>
        <w:t>çeşitlemesine</w:t>
      </w:r>
      <w:r w:rsidRPr="000B3AA2">
        <w:rPr>
          <w:rFonts w:cstheme="minorHAnsi"/>
          <w:sz w:val="24"/>
          <w:szCs w:val="24"/>
        </w:rPr>
        <w:t xml:space="preserve"> yol açabilir</w:t>
      </w:r>
      <w:r w:rsidRPr="0017250A">
        <w:rPr>
          <w:rFonts w:cstheme="minorHAnsi"/>
          <w:bCs/>
          <w:sz w:val="24"/>
          <w:szCs w:val="24"/>
        </w:rPr>
        <w:t>).</w:t>
      </w:r>
    </w:p>
    <w:p w:rsidR="004F2747" w:rsidRPr="0017250A" w:rsidRDefault="004F2747" w:rsidP="004F2747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• Örn</w:t>
      </w:r>
      <w:r>
        <w:rPr>
          <w:rFonts w:cstheme="minorHAnsi"/>
          <w:bCs/>
          <w:sz w:val="24"/>
          <w:szCs w:val="24"/>
        </w:rPr>
        <w:t xml:space="preserve">eklerde güncelleştirilmiş olan </w:t>
      </w:r>
      <w:r w:rsidR="00F10BCA" w:rsidRPr="0039508A">
        <w:rPr>
          <w:rFonts w:cstheme="minorHAnsi"/>
          <w:bCs/>
          <w:sz w:val="24"/>
          <w:szCs w:val="24"/>
        </w:rPr>
        <w:t>Ruhsatlı Beşeri Tıbbi Ürünlerde</w:t>
      </w:r>
      <w:r w:rsidR="00F10BCA">
        <w:rPr>
          <w:rFonts w:cstheme="minorHAnsi"/>
          <w:bCs/>
          <w:sz w:val="24"/>
          <w:szCs w:val="24"/>
        </w:rPr>
        <w:t xml:space="preserve">ki Varyasyonlara Dair </w:t>
      </w:r>
      <w:r w:rsidR="00F10BCA" w:rsidRPr="0073531E">
        <w:rPr>
          <w:rFonts w:cstheme="minorHAnsi"/>
          <w:bCs/>
          <w:sz w:val="24"/>
          <w:szCs w:val="24"/>
        </w:rPr>
        <w:t>Kılavuz</w:t>
      </w:r>
      <w:r w:rsidR="00F10BCA" w:rsidRPr="0017250A">
        <w:rPr>
          <w:rFonts w:cstheme="minorHAnsi"/>
          <w:bCs/>
          <w:sz w:val="24"/>
          <w:szCs w:val="24"/>
        </w:rPr>
        <w:t xml:space="preserve"> </w:t>
      </w:r>
      <w:r w:rsidRPr="0017250A">
        <w:rPr>
          <w:rFonts w:cstheme="minorHAnsi"/>
          <w:bCs/>
          <w:sz w:val="24"/>
          <w:szCs w:val="24"/>
        </w:rPr>
        <w:t>göz önünde bulundurulmalıdır.</w:t>
      </w:r>
    </w:p>
    <w:p w:rsidR="00F10BCA" w:rsidRPr="0017250A" w:rsidRDefault="004F2747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Tabloların okunma şekli:</w:t>
      </w:r>
    </w:p>
    <w:p w:rsidR="004F2747" w:rsidRPr="0017250A" w:rsidRDefault="004F2747" w:rsidP="004F2747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Örnek 1:</w:t>
      </w:r>
    </w:p>
    <w:p w:rsidR="004F2747" w:rsidRPr="0017250A" w:rsidRDefault="004F2747" w:rsidP="004F2747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• Birinci sütun durumu </w:t>
      </w:r>
      <w:r w:rsidR="003B06DA">
        <w:rPr>
          <w:rFonts w:cstheme="minorHAnsi"/>
          <w:bCs/>
          <w:sz w:val="24"/>
          <w:szCs w:val="24"/>
        </w:rPr>
        <w:t>tanımlamaktadır: Ruhsat sahib</w:t>
      </w:r>
      <w:r w:rsidRPr="0017250A">
        <w:rPr>
          <w:rFonts w:cstheme="minorHAnsi"/>
          <w:bCs/>
          <w:sz w:val="24"/>
          <w:szCs w:val="24"/>
        </w:rPr>
        <w:t>i</w:t>
      </w:r>
      <w:r w:rsidR="000435CA">
        <w:rPr>
          <w:rFonts w:cstheme="minorHAnsi"/>
          <w:bCs/>
          <w:sz w:val="24"/>
          <w:szCs w:val="24"/>
        </w:rPr>
        <w:t>nin,</w:t>
      </w:r>
      <w:r w:rsidRPr="0017250A">
        <w:rPr>
          <w:rFonts w:cstheme="minorHAnsi"/>
          <w:bCs/>
          <w:sz w:val="24"/>
          <w:szCs w:val="24"/>
        </w:rPr>
        <w:t xml:space="preserve"> 100 mg t</w:t>
      </w:r>
      <w:r w:rsidR="003B06DA">
        <w:rPr>
          <w:rFonts w:cstheme="minorHAnsi"/>
          <w:bCs/>
          <w:sz w:val="24"/>
          <w:szCs w:val="24"/>
        </w:rPr>
        <w:t>ablet için mevcut ruhsat</w:t>
      </w:r>
      <w:r w:rsidRPr="0017250A">
        <w:rPr>
          <w:rFonts w:cstheme="minorHAnsi"/>
          <w:bCs/>
          <w:sz w:val="24"/>
          <w:szCs w:val="24"/>
        </w:rPr>
        <w:t xml:space="preserve"> (“-den/</w:t>
      </w:r>
      <w:proofErr w:type="gramStart"/>
      <w:r w:rsidRPr="0017250A">
        <w:rPr>
          <w:rFonts w:cstheme="minorHAnsi"/>
          <w:bCs/>
          <w:sz w:val="24"/>
          <w:szCs w:val="24"/>
        </w:rPr>
        <w:t>dan</w:t>
      </w:r>
      <w:proofErr w:type="gramEnd"/>
      <w:r w:rsidRPr="0017250A">
        <w:rPr>
          <w:rFonts w:cstheme="minorHAnsi"/>
          <w:bCs/>
          <w:sz w:val="24"/>
          <w:szCs w:val="24"/>
        </w:rPr>
        <w:t>”); yanında  ilav</w:t>
      </w:r>
      <w:r w:rsidR="000435CA">
        <w:rPr>
          <w:rFonts w:cstheme="minorHAnsi"/>
          <w:bCs/>
          <w:sz w:val="24"/>
          <w:szCs w:val="24"/>
        </w:rPr>
        <w:t>e 500 mg tablet için de başvuru yapması</w:t>
      </w:r>
      <w:r w:rsidRPr="0017250A">
        <w:rPr>
          <w:rFonts w:cstheme="minorHAnsi"/>
          <w:bCs/>
          <w:sz w:val="24"/>
          <w:szCs w:val="24"/>
        </w:rPr>
        <w:t xml:space="preserve"> (“-e/a”).</w:t>
      </w:r>
    </w:p>
    <w:p w:rsidR="009430E2" w:rsidRDefault="004F2747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>• İkinci sütun bu kılavuzda verilen tanımlamaları kull</w:t>
      </w:r>
      <w:r w:rsidR="003B06DA">
        <w:rPr>
          <w:rFonts w:cstheme="minorHAnsi"/>
          <w:bCs/>
          <w:sz w:val="24"/>
          <w:szCs w:val="24"/>
        </w:rPr>
        <w:t>anarak sınıflandırmak için bir ç</w:t>
      </w:r>
      <w:r w:rsidRPr="0017250A">
        <w:rPr>
          <w:rFonts w:cstheme="minorHAnsi"/>
          <w:bCs/>
          <w:sz w:val="24"/>
          <w:szCs w:val="24"/>
        </w:rPr>
        <w:t xml:space="preserve">eşitleme </w:t>
      </w:r>
      <w:r w:rsidR="003B06DA">
        <w:rPr>
          <w:rFonts w:cstheme="minorHAnsi"/>
          <w:bCs/>
          <w:sz w:val="24"/>
          <w:szCs w:val="24"/>
        </w:rPr>
        <w:t>b</w:t>
      </w:r>
      <w:r w:rsidRPr="0017250A">
        <w:rPr>
          <w:rFonts w:cstheme="minorHAnsi"/>
          <w:bCs/>
          <w:sz w:val="24"/>
          <w:szCs w:val="24"/>
        </w:rPr>
        <w:t>aşvurusu veya değişiklik olarak mukayese edilecek olan “</w:t>
      </w:r>
      <w:proofErr w:type="spellStart"/>
      <w:r w:rsidRPr="0017250A">
        <w:rPr>
          <w:rFonts w:cstheme="minorHAnsi"/>
          <w:bCs/>
          <w:sz w:val="24"/>
          <w:szCs w:val="24"/>
        </w:rPr>
        <w:t>yitilikleri</w:t>
      </w:r>
      <w:proofErr w:type="spellEnd"/>
      <w:r w:rsidRPr="0017250A">
        <w:rPr>
          <w:rFonts w:cstheme="minorHAnsi"/>
          <w:bCs/>
          <w:sz w:val="24"/>
          <w:szCs w:val="24"/>
        </w:rPr>
        <w:t xml:space="preserve">” göstermektedir. </w:t>
      </w:r>
    </w:p>
    <w:p w:rsidR="00F10BCA" w:rsidRPr="0017250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17250A">
        <w:rPr>
          <w:rFonts w:cstheme="minorHAnsi"/>
          <w:bCs/>
          <w:sz w:val="24"/>
          <w:szCs w:val="24"/>
        </w:rPr>
        <w:t xml:space="preserve">• Üçüncü sütun ise 500 mg tablet için izlenecek olan </w:t>
      </w:r>
      <w:proofErr w:type="gramStart"/>
      <w:r w:rsidRPr="0017250A">
        <w:rPr>
          <w:rFonts w:cstheme="minorHAnsi"/>
          <w:bCs/>
          <w:sz w:val="24"/>
          <w:szCs w:val="24"/>
        </w:rPr>
        <w:t>prosedürle</w:t>
      </w:r>
      <w:proofErr w:type="gramEnd"/>
      <w:r w:rsidRPr="0017250A">
        <w:rPr>
          <w:rFonts w:cstheme="minorHAnsi"/>
          <w:bCs/>
          <w:sz w:val="24"/>
          <w:szCs w:val="24"/>
        </w:rPr>
        <w:t xml:space="preserve"> ilgili yolu vermektedir.</w:t>
      </w: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3B06DA" w:rsidRDefault="003B06DA" w:rsidP="003B06DA">
      <w:pPr>
        <w:spacing w:after="120" w:line="276" w:lineRule="auto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D435D" w:rsidRDefault="00DD435D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D435D" w:rsidRDefault="00DD435D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D435D" w:rsidRDefault="00DD435D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D435D" w:rsidRDefault="00DD435D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D435D" w:rsidRDefault="00DD435D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D435D" w:rsidRDefault="00DD435D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D435D" w:rsidRDefault="00DD435D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D435D" w:rsidRDefault="00DD435D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D435D" w:rsidRDefault="00DD435D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D435D" w:rsidRDefault="00DD435D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D435D" w:rsidRDefault="00DD435D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DD435D" w:rsidRDefault="00DD435D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DD435D">
      <w:pPr>
        <w:spacing w:after="120" w:line="276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75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410"/>
        <w:gridCol w:w="1276"/>
      </w:tblGrid>
      <w:tr w:rsidR="003B06DA" w:rsidRPr="003B06DA" w:rsidTr="00654704">
        <w:trPr>
          <w:tblHeader/>
        </w:trPr>
        <w:tc>
          <w:tcPr>
            <w:tcW w:w="5665" w:type="dxa"/>
            <w:gridSpan w:val="2"/>
            <w:shd w:val="clear" w:color="auto" w:fill="BDD6EE" w:themeFill="accent1" w:themeFillTint="66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  <w:b/>
              </w:rPr>
            </w:pPr>
            <w:r w:rsidRPr="003B06DA">
              <w:rPr>
                <w:rFonts w:cstheme="minorHAnsi"/>
                <w:b/>
              </w:rPr>
              <w:lastRenderedPageBreak/>
              <w:t>Örnekler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  <w:b/>
              </w:rPr>
            </w:pPr>
            <w:proofErr w:type="spellStart"/>
            <w:r w:rsidRPr="003B06DA">
              <w:rPr>
                <w:rFonts w:cstheme="minorHAnsi"/>
                <w:b/>
              </w:rPr>
              <w:t>Yitilik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3B06DA" w:rsidRPr="003B06DA" w:rsidRDefault="003B06DA" w:rsidP="003B06DA">
            <w:pPr>
              <w:jc w:val="center"/>
              <w:rPr>
                <w:rFonts w:cstheme="minorHAnsi"/>
                <w:b/>
              </w:rPr>
            </w:pPr>
            <w:r w:rsidRPr="003B06DA">
              <w:rPr>
                <w:rFonts w:cstheme="minorHAnsi"/>
                <w:b/>
              </w:rPr>
              <w:t xml:space="preserve">ÇB/Tip II/Tip IB </w:t>
            </w:r>
          </w:p>
          <w:p w:rsidR="003B06DA" w:rsidRPr="003B06DA" w:rsidRDefault="003B06DA" w:rsidP="003B06DA">
            <w:pPr>
              <w:jc w:val="center"/>
              <w:rPr>
                <w:rFonts w:cstheme="minorHAnsi"/>
                <w:b/>
              </w:rPr>
            </w:pPr>
            <w:r w:rsidRPr="003B06DA">
              <w:rPr>
                <w:rFonts w:cstheme="minorHAnsi"/>
                <w:b/>
              </w:rPr>
              <w:t>Sınıflandırma</w:t>
            </w:r>
          </w:p>
        </w:tc>
      </w:tr>
      <w:tr w:rsidR="003B06DA" w:rsidRPr="003B06DA" w:rsidTr="00654704">
        <w:trPr>
          <w:trHeight w:val="547"/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rFonts w:cstheme="minorHAnsi"/>
                <w:b/>
              </w:rPr>
            </w:pPr>
            <w:r w:rsidRPr="003B06DA">
              <w:rPr>
                <w:rFonts w:cstheme="minorHAnsi"/>
                <w:b/>
              </w:rPr>
              <w:t>A. ORAL PREPERATLAR</w:t>
            </w:r>
          </w:p>
          <w:p w:rsidR="003B06DA" w:rsidRPr="003B06DA" w:rsidRDefault="003B06DA" w:rsidP="003B06DA">
            <w:pPr>
              <w:rPr>
                <w:rFonts w:cstheme="minorHAnsi"/>
                <w:b/>
              </w:rPr>
            </w:pPr>
            <w:r w:rsidRPr="003B06DA">
              <w:rPr>
                <w:rFonts w:cstheme="minorHAnsi"/>
                <w:b/>
                <w:i/>
              </w:rPr>
              <w:t xml:space="preserve">Katı – Tek dozlu, toplam kullanım 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139"/>
                <w:tab w:val="left" w:pos="3289"/>
              </w:tabs>
              <w:rPr>
                <w:rFonts w:cstheme="minorHAnsi"/>
              </w:rPr>
            </w:pPr>
            <w:r w:rsidRPr="003B06DA">
              <w:rPr>
                <w:rFonts w:cstheme="minorHAnsi"/>
              </w:rPr>
              <w:t>1. Tabletler</w:t>
            </w:r>
            <w:r w:rsidRPr="003B06DA">
              <w:rPr>
                <w:rFonts w:cstheme="minorHAnsi"/>
              </w:rPr>
              <w:tab/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100 mg’</w:t>
            </w:r>
            <w:r w:rsidRPr="003B06DA">
              <w:rPr>
                <w:rFonts w:cstheme="minorHAnsi"/>
                <w:i/>
              </w:rPr>
              <w:t>dan</w:t>
            </w:r>
          </w:p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500 mg’a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100 mg</w:t>
            </w:r>
          </w:p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500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  <w:b/>
              </w:rPr>
            </w:pPr>
            <w:r w:rsidRPr="003B06DA">
              <w:rPr>
                <w:rFonts w:cstheme="minorHAnsi"/>
              </w:rPr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176"/>
                <w:tab w:val="left" w:pos="3289"/>
              </w:tabs>
              <w:rPr>
                <w:rFonts w:cstheme="minorHAnsi"/>
              </w:rPr>
            </w:pPr>
            <w:r w:rsidRPr="003B06DA">
              <w:rPr>
                <w:rFonts w:cstheme="minorHAnsi"/>
              </w:rPr>
              <w:t>2. Granüller (</w:t>
            </w:r>
            <w:proofErr w:type="spellStart"/>
            <w:r w:rsidRPr="003B06DA">
              <w:rPr>
                <w:rFonts w:cstheme="minorHAnsi"/>
              </w:rPr>
              <w:t>saşe</w:t>
            </w:r>
            <w:proofErr w:type="spellEnd"/>
            <w:r w:rsidRPr="003B06DA">
              <w:rPr>
                <w:rFonts w:cstheme="minorHAnsi"/>
              </w:rPr>
              <w:t xml:space="preserve">)          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289"/>
              </w:tabs>
              <w:rPr>
                <w:rFonts w:cstheme="minorHAnsi"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176"/>
                <w:tab w:val="left" w:pos="3289"/>
              </w:tabs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1’</w:t>
            </w:r>
            <w:r w:rsidRPr="003B06DA">
              <w:rPr>
                <w:rFonts w:cstheme="minorHAnsi"/>
                <w:i/>
              </w:rPr>
              <w:t>dan</w:t>
            </w:r>
          </w:p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2 g’a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3B06DA">
                <w:rPr>
                  <w:rFonts w:cstheme="minorHAnsi"/>
                </w:rPr>
                <w:t>1 g</w:t>
              </w:r>
            </w:smartTag>
          </w:p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smartTag w:uri="urn:schemas-microsoft-com:office:smarttags" w:element="metricconverter">
              <w:smartTagPr>
                <w:attr w:name="ProductID" w:val="2 g"/>
              </w:smartTagPr>
              <w:r w:rsidRPr="003B06DA">
                <w:rPr>
                  <w:rFonts w:cstheme="minorHAnsi"/>
                </w:rPr>
                <w:t>2 g</w:t>
              </w:r>
            </w:smartTag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rFonts w:cstheme="minorHAnsi"/>
                <w:b/>
              </w:rPr>
            </w:pPr>
            <w:r w:rsidRPr="003B06DA">
              <w:rPr>
                <w:rFonts w:cstheme="minorHAnsi"/>
                <w:b/>
                <w:i/>
              </w:rPr>
              <w:t>Katı – Çok dozlu</w:t>
            </w:r>
          </w:p>
        </w:tc>
      </w:tr>
      <w:tr w:rsidR="003B06DA" w:rsidRPr="003B06DA" w:rsidTr="00654704">
        <w:trPr>
          <w:trHeight w:val="522"/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rFonts w:cstheme="minorHAnsi"/>
              </w:rPr>
            </w:pPr>
            <w:r w:rsidRPr="003B06DA">
              <w:rPr>
                <w:rFonts w:cstheme="minorHAnsi"/>
              </w:rPr>
              <w:t xml:space="preserve">3. Granüller (şişe)        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rFonts w:cstheme="minorHAnsi"/>
                <w:b/>
                <w:bCs/>
              </w:rPr>
            </w:pPr>
            <w:r w:rsidRPr="003B06DA">
              <w:rPr>
                <w:rFonts w:cstheme="minorHAnsi"/>
              </w:rPr>
              <w:t xml:space="preserve">                                       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100 mg/5 g (kaşık)’</w:t>
            </w:r>
            <w:proofErr w:type="gramStart"/>
            <w:r w:rsidRPr="003B06DA">
              <w:rPr>
                <w:rFonts w:cstheme="minorHAnsi"/>
              </w:rPr>
              <w:t>dan</w:t>
            </w:r>
            <w:proofErr w:type="gram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500 mg/5 g’a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20 mg/g</w:t>
            </w:r>
          </w:p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100 mg/g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  <w:b/>
              </w:rPr>
            </w:pPr>
            <w:r w:rsidRPr="003B06DA">
              <w:rPr>
                <w:rFonts w:cstheme="minorHAnsi"/>
              </w:rPr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rFonts w:cstheme="minorHAnsi"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rFonts w:cstheme="minorHAnsi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3B06DA">
                <w:rPr>
                  <w:rFonts w:cstheme="minorHAnsi"/>
                </w:rPr>
                <w:t>500 g</w:t>
              </w:r>
            </w:smartTag>
            <w:r w:rsidRPr="003B06DA">
              <w:rPr>
                <w:rFonts w:cstheme="minorHAnsi"/>
              </w:rPr>
              <w:t xml:space="preserve"> </w:t>
            </w:r>
            <w:proofErr w:type="spellStart"/>
            <w:r w:rsidRPr="003B06DA">
              <w:rPr>
                <w:rFonts w:cstheme="minorHAnsi"/>
              </w:rPr>
              <w:t>şişe’den</w:t>
            </w:r>
            <w:proofErr w:type="spellEnd"/>
            <w:r w:rsidRPr="003B06DA">
              <w:rPr>
                <w:rFonts w:cstheme="minorHAnsi"/>
              </w:rPr>
              <w:t xml:space="preserve"> (100 mg/g)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rFonts w:cstheme="minorHAnsi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3B06DA">
                <w:rPr>
                  <w:rFonts w:cstheme="minorHAnsi"/>
                </w:rPr>
                <w:t>1000 g</w:t>
              </w:r>
            </w:smartTag>
            <w:r w:rsidRPr="003B06DA">
              <w:rPr>
                <w:rFonts w:cstheme="minorHAnsi"/>
              </w:rPr>
              <w:t xml:space="preserve"> </w:t>
            </w:r>
            <w:proofErr w:type="spellStart"/>
            <w:r w:rsidRPr="003B06DA">
              <w:rPr>
                <w:rFonts w:cstheme="minorHAnsi"/>
              </w:rPr>
              <w:t>şişe’ye</w:t>
            </w:r>
            <w:proofErr w:type="spellEnd"/>
            <w:r w:rsidRPr="003B06DA">
              <w:rPr>
                <w:rFonts w:cstheme="minorHAnsi"/>
              </w:rPr>
              <w:t xml:space="preserve"> (100 mg/g)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100 mg/g</w:t>
            </w:r>
          </w:p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100 mg/g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Tip IB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rFonts w:cstheme="minorHAnsi"/>
                <w:b/>
              </w:rPr>
            </w:pPr>
            <w:r w:rsidRPr="003B06DA">
              <w:rPr>
                <w:rFonts w:cstheme="minorHAnsi"/>
                <w:b/>
                <w:i/>
              </w:rPr>
              <w:t xml:space="preserve">Katı – Sabit kombinasyonlar / </w:t>
            </w:r>
            <w:proofErr w:type="gramStart"/>
            <w:r w:rsidRPr="003B06DA">
              <w:rPr>
                <w:rFonts w:cstheme="minorHAnsi"/>
                <w:b/>
                <w:i/>
              </w:rPr>
              <w:t>kombinasyon</w:t>
            </w:r>
            <w:proofErr w:type="gramEnd"/>
            <w:r w:rsidRPr="003B06DA">
              <w:rPr>
                <w:rFonts w:cstheme="minorHAnsi"/>
                <w:b/>
                <w:i/>
              </w:rPr>
              <w:t xml:space="preserve"> paketleri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rFonts w:cstheme="minorHAnsi"/>
                <w:i/>
              </w:rPr>
            </w:pPr>
            <w:r w:rsidRPr="003B06DA">
              <w:rPr>
                <w:rFonts w:cstheme="minorHAnsi"/>
              </w:rPr>
              <w:t xml:space="preserve">4. Tabletler (Sabit </w:t>
            </w:r>
            <w:proofErr w:type="gramStart"/>
            <w:r w:rsidRPr="003B06DA">
              <w:rPr>
                <w:rFonts w:cstheme="minorHAnsi"/>
              </w:rPr>
              <w:t>kombinasyon</w:t>
            </w:r>
            <w:proofErr w:type="gramEnd"/>
            <w:r w:rsidRPr="003B06DA">
              <w:rPr>
                <w:rFonts w:cstheme="minorHAnsi"/>
              </w:rPr>
              <w:t>)</w:t>
            </w:r>
            <w:r w:rsidRPr="003B06DA">
              <w:rPr>
                <w:rFonts w:cstheme="minorHAnsi"/>
              </w:rPr>
              <w:tab/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5 mg X + 10 mg Y’den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10 mg X + 20 mg Y’ye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5 mg + 10 mg</w:t>
            </w:r>
          </w:p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10 mg + 20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rFonts w:cstheme="minorHAnsi"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5 mg X + 10 mg Y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5 mg X + 20 mg Y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5 mg + 10 mg</w:t>
            </w:r>
          </w:p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5 mg + 20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rPr>
                <w:rFonts w:cstheme="minorHAnsi"/>
              </w:rPr>
              <w:t xml:space="preserve">5. Tabletler </w:t>
            </w:r>
            <w:r w:rsidRPr="003B06DA">
              <w:t xml:space="preserve">(Oral </w:t>
            </w:r>
            <w:proofErr w:type="spellStart"/>
            <w:r w:rsidRPr="003B06DA">
              <w:t>kontraseptifler</w:t>
            </w:r>
            <w:proofErr w:type="spellEnd"/>
            <w:r w:rsidRPr="003B06DA">
              <w:t>)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12 tablet X + 12 tablet Y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+ 4 tablet </w:t>
            </w:r>
            <w:proofErr w:type="spellStart"/>
            <w:r w:rsidRPr="003B06DA">
              <w:t>Plasebo’dan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16 tablet X + 12 tablet Y’ye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rFonts w:cstheme="minorHAnsi"/>
              </w:rPr>
            </w:pPr>
            <w:r w:rsidRPr="003B06DA">
              <w:rPr>
                <w:b/>
                <w:i/>
              </w:rPr>
              <w:t>Yarı katı – Çok dozlu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  <w:r w:rsidRPr="003B06DA">
              <w:t>6. Jel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20 mg/g’dan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rFonts w:cstheme="minorHAnsi"/>
              </w:rPr>
            </w:pPr>
            <w:r w:rsidRPr="003B06DA">
              <w:t>100 mg/g’a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20 mg/g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100 mg/g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smartTag w:uri="urn:schemas-microsoft-com:office:smarttags" w:element="metricconverter">
              <w:smartTagPr>
                <w:attr w:name="ProductID" w:val="20 g"/>
              </w:smartTagPr>
              <w:r w:rsidRPr="003B06DA">
                <w:t>20 g</w:t>
              </w:r>
            </w:smartTag>
            <w:r w:rsidRPr="003B06DA">
              <w:t xml:space="preserve"> kavanoz (100 mg/g)’</w:t>
            </w:r>
            <w:proofErr w:type="gramStart"/>
            <w:r w:rsidRPr="003B06DA">
              <w:t>dan</w:t>
            </w:r>
            <w:proofErr w:type="gram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smartTag w:uri="urn:schemas-microsoft-com:office:smarttags" w:element="metricconverter">
              <w:smartTagPr>
                <w:attr w:name="ProductID" w:val="30 g"/>
              </w:smartTagPr>
              <w:r w:rsidRPr="003B06DA">
                <w:t>30 g</w:t>
              </w:r>
            </w:smartTag>
            <w:r w:rsidRPr="003B06DA">
              <w:t xml:space="preserve"> kavanoz (100 mg/g)’a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mg/g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100 mg/g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rPr>
                <w:rFonts w:cstheme="minorHAnsi"/>
              </w:rPr>
              <w:t>Tip IB</w:t>
            </w:r>
            <w:r w:rsidRPr="003B06DA">
              <w:t xml:space="preserve"> 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rFonts w:cstheme="minorHAnsi"/>
              </w:rPr>
            </w:pPr>
            <w:r w:rsidRPr="003B06DA">
              <w:rPr>
                <w:b/>
                <w:i/>
              </w:rPr>
              <w:t>Oral çözelti/süspansiyon hazırlamak için toz  – Tek dozlu, toplam kullanım</w:t>
            </w:r>
          </w:p>
        </w:tc>
      </w:tr>
      <w:tr w:rsidR="003B06DA" w:rsidRPr="003B06DA" w:rsidTr="00654704">
        <w:trPr>
          <w:trHeight w:val="554"/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t>7. Oral çözelti için toz (</w:t>
            </w:r>
            <w:proofErr w:type="spellStart"/>
            <w:r w:rsidRPr="003B06DA">
              <w:t>saşe</w:t>
            </w:r>
            <w:proofErr w:type="spellEnd"/>
            <w:r w:rsidRPr="003B06DA">
              <w:t>)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mg’dan (2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200 mg’a (2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200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rHeight w:val="565"/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mg’dan (2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200 mg’a (4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200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rFonts w:cstheme="minorHAnsi"/>
              </w:rPr>
            </w:pPr>
            <w:r w:rsidRPr="003B06DA">
              <w:rPr>
                <w:b/>
                <w:i/>
              </w:rPr>
              <w:t>Oral çözelti/süspansiyon hazırlamak için toz  – Çok dozlu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t>8. Oral süspansiyon için toz (şişe)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 g’dan (200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20 g’a (200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50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100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 g’dan (200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20 g’a (400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50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50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rFonts w:cstheme="minorHAnsi"/>
              </w:rPr>
            </w:pPr>
            <w:r w:rsidRPr="003B06DA">
              <w:rPr>
                <w:b/>
                <w:i/>
              </w:rPr>
              <w:t>Kullanıma hazır sıvı – Tek dozlu, toplam kullanım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i/>
              </w:rPr>
            </w:pPr>
            <w:r w:rsidRPr="003B06DA">
              <w:t>9. Oral çözelti (</w:t>
            </w:r>
            <w:proofErr w:type="spellStart"/>
            <w:r w:rsidRPr="003B06DA">
              <w:t>saşe</w:t>
            </w:r>
            <w:proofErr w:type="spellEnd"/>
            <w:r w:rsidRPr="003B06DA">
              <w:t>)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mg/5 </w:t>
            </w:r>
            <w:proofErr w:type="spellStart"/>
            <w:r w:rsidRPr="003B06DA">
              <w:t>mL’den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200 mg/5 </w:t>
            </w:r>
            <w:proofErr w:type="spellStart"/>
            <w:r w:rsidRPr="003B06DA">
              <w:t>mL’ye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200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mg/5 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200 mg/10 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200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rFonts w:cstheme="minorHAnsi"/>
              </w:rPr>
            </w:pPr>
            <w:r w:rsidRPr="003B06DA">
              <w:rPr>
                <w:b/>
                <w:i/>
              </w:rPr>
              <w:t>Kullanıma hazır sıvı – Çok dozlu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t>10. Oral çözelti (şişe)</w:t>
            </w:r>
          </w:p>
          <w:p w:rsidR="00654704" w:rsidRDefault="00654704" w:rsidP="003B06DA">
            <w:pPr>
              <w:tabs>
                <w:tab w:val="left" w:pos="2139"/>
                <w:tab w:val="left" w:pos="3600"/>
              </w:tabs>
            </w:pPr>
          </w:p>
          <w:p w:rsidR="00654704" w:rsidRDefault="00654704" w:rsidP="003B06DA">
            <w:pPr>
              <w:tabs>
                <w:tab w:val="left" w:pos="2139"/>
                <w:tab w:val="left" w:pos="3600"/>
              </w:tabs>
            </w:pPr>
          </w:p>
          <w:p w:rsidR="00654704" w:rsidRDefault="00654704" w:rsidP="003B06DA">
            <w:pPr>
              <w:tabs>
                <w:tab w:val="left" w:pos="2139"/>
                <w:tab w:val="left" w:pos="3600"/>
              </w:tabs>
            </w:pPr>
          </w:p>
          <w:p w:rsidR="00654704" w:rsidRPr="003B06DA" w:rsidRDefault="00654704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500 mg/50 </w:t>
            </w:r>
            <w:proofErr w:type="spellStart"/>
            <w:r w:rsidRPr="003B06DA">
              <w:t>mL’den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1000 mg/50 </w:t>
            </w:r>
            <w:proofErr w:type="spellStart"/>
            <w:r w:rsidRPr="003B06DA">
              <w:t>mL’ye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20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b/>
              </w:rPr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500 mg/50 </w:t>
            </w:r>
            <w:proofErr w:type="spellStart"/>
            <w:r w:rsidRPr="003B06DA">
              <w:t>mL’den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1000 mg/100 </w:t>
            </w:r>
            <w:proofErr w:type="spellStart"/>
            <w:r w:rsidRPr="003B06DA">
              <w:t>mL’ye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10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rFonts w:cstheme="minorHAnsi"/>
              </w:rPr>
            </w:pPr>
            <w:r w:rsidRPr="003B06DA">
              <w:rPr>
                <w:b/>
              </w:rPr>
              <w:lastRenderedPageBreak/>
              <w:t>B. PARENTERAL PREPERATLAR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rFonts w:cstheme="minorHAnsi"/>
              </w:rPr>
            </w:pPr>
            <w:r w:rsidRPr="003B06DA">
              <w:rPr>
                <w:b/>
                <w:i/>
              </w:rPr>
              <w:t>Kullanıma hazır sıvı – Tek doz, toplam kullanım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  <w:r w:rsidRPr="003B06DA">
              <w:t xml:space="preserve">11. </w:t>
            </w:r>
            <w:proofErr w:type="spellStart"/>
            <w:r w:rsidRPr="003B06DA">
              <w:t>Enjeksiyonluk</w:t>
            </w:r>
            <w:proofErr w:type="spellEnd"/>
            <w:r w:rsidRPr="003B06DA">
              <w:t xml:space="preserve"> Çözelti                       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mg/1 </w:t>
            </w:r>
            <w:proofErr w:type="spellStart"/>
            <w:r w:rsidRPr="003B06DA">
              <w:t>mL’den</w:t>
            </w:r>
            <w:proofErr w:type="spellEnd"/>
            <w:r w:rsidRPr="003B06DA">
              <w:t xml:space="preserve"> (kullanıma hazır şırınga)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rFonts w:cstheme="minorHAnsi"/>
              </w:rPr>
            </w:pPr>
            <w:r w:rsidRPr="003B06DA">
              <w:t xml:space="preserve">200 mg/1 </w:t>
            </w:r>
            <w:proofErr w:type="spellStart"/>
            <w:r w:rsidRPr="003B06DA">
              <w:t>mL’ye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  <w:p w:rsidR="003B06DA" w:rsidRPr="003B06DA" w:rsidRDefault="003B06DA" w:rsidP="003B06DA">
            <w:pPr>
              <w:jc w:val="center"/>
            </w:pPr>
            <w:r w:rsidRPr="003B06DA">
              <w:t>100 mg</w:t>
            </w:r>
          </w:p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t>200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ÇB</w:t>
            </w:r>
          </w:p>
        </w:tc>
      </w:tr>
      <w:tr w:rsidR="003B06DA" w:rsidRPr="003B06DA" w:rsidTr="00654704">
        <w:trPr>
          <w:trHeight w:val="573"/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mg/1 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rFonts w:cstheme="minorHAnsi"/>
              </w:rPr>
            </w:pPr>
            <w:r w:rsidRPr="003B06DA">
              <w:t xml:space="preserve">200 mg/2 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200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rPr>
                <w:rFonts w:cstheme="minorHAnsi"/>
              </w:rPr>
              <w:t>ÇB</w:t>
            </w:r>
          </w:p>
        </w:tc>
      </w:tr>
      <w:tr w:rsidR="003B06DA" w:rsidRPr="003B06DA" w:rsidTr="00654704">
        <w:trPr>
          <w:trHeight w:val="613"/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mg/1 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100 mg/</w:t>
            </w:r>
            <w:proofErr w:type="gramStart"/>
            <w:r w:rsidRPr="003B06DA">
              <w:t>0.5</w:t>
            </w:r>
            <w:proofErr w:type="gramEnd"/>
            <w:r w:rsidRPr="003B06DA">
              <w:t xml:space="preserve"> 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</w:t>
            </w:r>
          </w:p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t>100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rFonts w:cstheme="minorHAnsi"/>
              </w:rPr>
            </w:pPr>
            <w:r w:rsidRPr="003B06DA">
              <w:t>Tip II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  <w:r w:rsidRPr="003B06DA">
              <w:rPr>
                <w:b/>
                <w:i/>
              </w:rPr>
              <w:t>Kullanıma hazır sıvı-</w:t>
            </w:r>
          </w:p>
          <w:p w:rsidR="003B06DA" w:rsidRPr="003B06DA" w:rsidRDefault="003B06DA" w:rsidP="003B06DA">
            <w:r w:rsidRPr="003B06DA">
              <w:rPr>
                <w:b/>
                <w:i/>
              </w:rPr>
              <w:t>Çok dozlu veya Tek doz, kısmi kullanım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  <w:r w:rsidRPr="003B06DA">
              <w:t xml:space="preserve">12. </w:t>
            </w:r>
            <w:proofErr w:type="spellStart"/>
            <w:r w:rsidRPr="003B06DA">
              <w:t>Enjeksiyonluk</w:t>
            </w:r>
            <w:proofErr w:type="spellEnd"/>
            <w:r w:rsidRPr="003B06DA">
              <w:t xml:space="preserve"> çözelti (</w:t>
            </w:r>
            <w:proofErr w:type="spellStart"/>
            <w:r w:rsidRPr="003B06DA">
              <w:t>flakon</w:t>
            </w:r>
            <w:proofErr w:type="spellEnd"/>
            <w:r w:rsidRPr="003B06DA">
              <w:t>)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500 mg/50 </w:t>
            </w:r>
            <w:proofErr w:type="spellStart"/>
            <w:r w:rsidRPr="003B06DA">
              <w:t>mL’den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1000 mg/50 </w:t>
            </w:r>
            <w:proofErr w:type="spellStart"/>
            <w:r w:rsidRPr="003B06DA">
              <w:t>mL’ye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20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  <w:p w:rsidR="003B06DA" w:rsidRPr="003B06DA" w:rsidRDefault="003B06DA" w:rsidP="003B06DA">
            <w:pPr>
              <w:jc w:val="center"/>
            </w:pP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500 mg/10 </w:t>
            </w:r>
            <w:proofErr w:type="spellStart"/>
            <w:r w:rsidRPr="003B06DA">
              <w:t>mL’den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1000 mg/20 </w:t>
            </w:r>
            <w:proofErr w:type="spellStart"/>
            <w:r w:rsidRPr="003B06DA">
              <w:t>mL’ye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50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50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II</w:t>
            </w:r>
          </w:p>
          <w:p w:rsidR="003B06DA" w:rsidRPr="003B06DA" w:rsidRDefault="003B06DA" w:rsidP="003B06DA">
            <w:pPr>
              <w:jc w:val="center"/>
            </w:pP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50 mg/5 </w:t>
            </w:r>
            <w:proofErr w:type="spellStart"/>
            <w:r w:rsidRPr="003B06DA">
              <w:t>mL’den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i/>
              </w:rPr>
            </w:pPr>
            <w:r w:rsidRPr="003B06DA">
              <w:t xml:space="preserve">100 mg/10 </w:t>
            </w:r>
            <w:proofErr w:type="spellStart"/>
            <w:r w:rsidRPr="003B06DA">
              <w:t>mL’ye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10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II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roofErr w:type="spellStart"/>
            <w:r w:rsidRPr="003B06DA">
              <w:rPr>
                <w:b/>
                <w:i/>
              </w:rPr>
              <w:t>Parenteraller</w:t>
            </w:r>
            <w:proofErr w:type="spellEnd"/>
            <w:r w:rsidRPr="003B06DA">
              <w:rPr>
                <w:b/>
                <w:i/>
              </w:rPr>
              <w:t xml:space="preserve"> – farklı kaplar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shd w:val="clear" w:color="auto" w:fill="auto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  <w:r w:rsidRPr="003B06DA">
              <w:t xml:space="preserve">13. </w:t>
            </w:r>
            <w:proofErr w:type="spellStart"/>
            <w:r w:rsidRPr="003B06DA">
              <w:t>Enjeksiyonluk</w:t>
            </w:r>
            <w:proofErr w:type="spellEnd"/>
            <w:r w:rsidRPr="003B06DA">
              <w:t xml:space="preserve"> çözelti</w:t>
            </w:r>
          </w:p>
        </w:tc>
        <w:tc>
          <w:tcPr>
            <w:tcW w:w="2976" w:type="dxa"/>
            <w:shd w:val="clear" w:color="auto" w:fill="auto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proofErr w:type="spellStart"/>
            <w:r w:rsidRPr="003B06DA">
              <w:t>Flakon’dan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Kullanıma hazır </w:t>
            </w:r>
            <w:proofErr w:type="spellStart"/>
            <w:r w:rsidRPr="003B06DA">
              <w:t>şırınga’ya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(</w:t>
            </w:r>
            <w:r w:rsidRPr="003B06DA">
              <w:rPr>
                <w:i/>
              </w:rPr>
              <w:t xml:space="preserve">aynı </w:t>
            </w:r>
            <w:proofErr w:type="gramStart"/>
            <w:r w:rsidRPr="003B06DA">
              <w:rPr>
                <w:i/>
              </w:rPr>
              <w:t>konsantrasyon</w:t>
            </w:r>
            <w:proofErr w:type="gram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  <w:shd w:val="clear" w:color="auto" w:fill="auto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  <w:r w:rsidRPr="003B06DA">
              <w:t xml:space="preserve">14. </w:t>
            </w:r>
            <w:proofErr w:type="spellStart"/>
            <w:r w:rsidRPr="003B06DA">
              <w:t>Enjeksiyonluk</w:t>
            </w:r>
            <w:proofErr w:type="spellEnd"/>
            <w:r w:rsidRPr="003B06DA">
              <w:t xml:space="preserve"> çözelti</w:t>
            </w:r>
          </w:p>
        </w:tc>
        <w:tc>
          <w:tcPr>
            <w:tcW w:w="2976" w:type="dxa"/>
            <w:shd w:val="clear" w:color="auto" w:fill="auto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i/>
              </w:rPr>
            </w:pPr>
            <w:proofErr w:type="spellStart"/>
            <w:r w:rsidRPr="003B06DA">
              <w:t>Flakon’dan</w:t>
            </w:r>
            <w:proofErr w:type="spellEnd"/>
            <w:r w:rsidRPr="003B06DA">
              <w:t xml:space="preserve"> 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proofErr w:type="spellStart"/>
            <w:r w:rsidRPr="003B06DA">
              <w:t>Ampul’e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(</w:t>
            </w:r>
            <w:r w:rsidRPr="003B06DA">
              <w:rPr>
                <w:i/>
              </w:rPr>
              <w:t xml:space="preserve">aynı </w:t>
            </w:r>
            <w:proofErr w:type="gramStart"/>
            <w:r w:rsidRPr="003B06DA">
              <w:rPr>
                <w:i/>
              </w:rPr>
              <w:t>konsantrasyon</w:t>
            </w:r>
            <w:proofErr w:type="gram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II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Plastik </w:t>
            </w:r>
            <w:proofErr w:type="spellStart"/>
            <w:r w:rsidRPr="003B06DA">
              <w:t>ampul’den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Cam </w:t>
            </w:r>
            <w:proofErr w:type="spellStart"/>
            <w:r w:rsidRPr="003B06DA">
              <w:t>ampul’e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i/>
              </w:rPr>
            </w:pPr>
            <w:r w:rsidRPr="003B06DA">
              <w:t>(</w:t>
            </w:r>
            <w:r w:rsidRPr="003B06DA">
              <w:rPr>
                <w:i/>
              </w:rPr>
              <w:t xml:space="preserve">aynı </w:t>
            </w:r>
            <w:proofErr w:type="gramStart"/>
            <w:r w:rsidRPr="003B06DA">
              <w:rPr>
                <w:i/>
              </w:rPr>
              <w:t>konsantrasyon</w:t>
            </w:r>
            <w:proofErr w:type="gram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II</w:t>
            </w:r>
          </w:p>
          <w:p w:rsidR="003B06DA" w:rsidRPr="003B06DA" w:rsidRDefault="003B06DA" w:rsidP="003B06DA">
            <w:pPr>
              <w:jc w:val="center"/>
            </w:pP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ind w:left="313" w:hanging="313"/>
            </w:pPr>
            <w:r w:rsidRPr="003B06DA">
              <w:t xml:space="preserve">15. </w:t>
            </w:r>
            <w:proofErr w:type="spellStart"/>
            <w:r w:rsidRPr="003B06DA">
              <w:t>Enjeksiyonluk</w:t>
            </w:r>
            <w:proofErr w:type="spellEnd"/>
            <w:r w:rsidRPr="003B06DA">
              <w:t xml:space="preserve"> çözelti   (İnsülinler)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proofErr w:type="spellStart"/>
            <w:r w:rsidRPr="003B06DA">
              <w:t>Flakon’dan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proofErr w:type="spellStart"/>
            <w:r w:rsidRPr="003B06DA">
              <w:t>Kartuş’a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(</w:t>
            </w:r>
            <w:r w:rsidRPr="003B06DA">
              <w:rPr>
                <w:i/>
              </w:rPr>
              <w:t xml:space="preserve">aynı </w:t>
            </w:r>
            <w:proofErr w:type="gramStart"/>
            <w:r w:rsidRPr="003B06DA">
              <w:rPr>
                <w:i/>
              </w:rPr>
              <w:t>konsantrasyon</w:t>
            </w:r>
            <w:proofErr w:type="gram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II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proofErr w:type="spellStart"/>
            <w:r w:rsidRPr="003B06DA">
              <w:t>Kartuş’tan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Tek kullanımlık kalemde </w:t>
            </w:r>
            <w:proofErr w:type="spellStart"/>
            <w:r w:rsidRPr="003B06DA">
              <w:t>kartuş’a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t>(</w:t>
            </w:r>
            <w:r w:rsidRPr="003B06DA">
              <w:rPr>
                <w:i/>
              </w:rPr>
              <w:t xml:space="preserve">aynı </w:t>
            </w:r>
            <w:proofErr w:type="spellStart"/>
            <w:proofErr w:type="gramStart"/>
            <w:r w:rsidRPr="003B06DA">
              <w:rPr>
                <w:i/>
              </w:rPr>
              <w:t>konsantrasyon</w:t>
            </w:r>
            <w:proofErr w:type="gramEnd"/>
            <w:r w:rsidRPr="003B06DA">
              <w:rPr>
                <w:i/>
              </w:rPr>
              <w:t>&amp;kartuş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II</w:t>
            </w:r>
          </w:p>
          <w:p w:rsidR="003B06DA" w:rsidRPr="003B06DA" w:rsidRDefault="003B06DA" w:rsidP="003B06DA">
            <w:pPr>
              <w:jc w:val="center"/>
            </w:pP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439"/>
                <w:tab w:val="left" w:pos="3600"/>
              </w:tabs>
              <w:rPr>
                <w:b/>
                <w:i/>
              </w:rPr>
            </w:pPr>
            <w:r w:rsidRPr="003B06DA">
              <w:t>16. Toz + Çözücü</w:t>
            </w:r>
            <w:r w:rsidRPr="003B06DA">
              <w:tab/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u w:val="single"/>
              </w:rPr>
            </w:pPr>
            <w:r w:rsidRPr="003B06DA">
              <w:rPr>
                <w:u w:val="single"/>
              </w:rPr>
              <w:t xml:space="preserve">Çözücü 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proofErr w:type="spellStart"/>
            <w:r w:rsidRPr="003B06DA">
              <w:t>Flakon’dan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Kullanıma hazır </w:t>
            </w:r>
            <w:proofErr w:type="spellStart"/>
            <w:r w:rsidRPr="003B06DA">
              <w:t>şırınga’ya</w:t>
            </w:r>
            <w:proofErr w:type="spellEnd"/>
            <w:r w:rsidRPr="003B06DA">
              <w:t xml:space="preserve"> 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(</w:t>
            </w:r>
            <w:r w:rsidRPr="003B06DA">
              <w:rPr>
                <w:i/>
              </w:rPr>
              <w:t xml:space="preserve">aynı </w:t>
            </w:r>
            <w:proofErr w:type="gramStart"/>
            <w:r w:rsidRPr="003B06DA">
              <w:rPr>
                <w:i/>
              </w:rPr>
              <w:t>konsantrasyon</w:t>
            </w:r>
            <w:proofErr w:type="gram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b/>
                <w:i/>
              </w:rPr>
            </w:pPr>
            <w:proofErr w:type="spellStart"/>
            <w:r w:rsidRPr="003B06DA">
              <w:rPr>
                <w:b/>
                <w:i/>
              </w:rPr>
              <w:t>Rekonstitüsyon</w:t>
            </w:r>
            <w:proofErr w:type="spellEnd"/>
            <w:r w:rsidRPr="003B06DA">
              <w:rPr>
                <w:b/>
                <w:i/>
              </w:rPr>
              <w:t xml:space="preserve"> için toz – Tek doz, toplam kullanım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ind w:left="313" w:hanging="313"/>
              <w:rPr>
                <w:b/>
                <w:i/>
              </w:rPr>
            </w:pPr>
            <w:r w:rsidRPr="003B06DA">
              <w:t xml:space="preserve">17. </w:t>
            </w:r>
            <w:proofErr w:type="spellStart"/>
            <w:r w:rsidRPr="003B06DA">
              <w:t>Enjeksiyonluk</w:t>
            </w:r>
            <w:proofErr w:type="spellEnd"/>
            <w:r w:rsidRPr="003B06DA">
              <w:t xml:space="preserve"> çözelti için toz 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mg’dan (2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i/>
              </w:rPr>
            </w:pPr>
            <w:r w:rsidRPr="003B06DA">
              <w:t xml:space="preserve">200 mg’a (2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200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 xml:space="preserve">ÇB 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250 </w:t>
            </w:r>
            <w:proofErr w:type="spellStart"/>
            <w:r w:rsidRPr="003B06DA">
              <w:t>IU’den</w:t>
            </w:r>
            <w:proofErr w:type="spellEnd"/>
            <w:r w:rsidRPr="003B06DA">
              <w:t xml:space="preserve"> (5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500 </w:t>
            </w:r>
            <w:proofErr w:type="spellStart"/>
            <w:r w:rsidRPr="003B06DA">
              <w:t>IU’ye</w:t>
            </w:r>
            <w:proofErr w:type="spellEnd"/>
            <w:r w:rsidRPr="003B06DA">
              <w:t xml:space="preserve"> (5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250 IU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500 IU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 xml:space="preserve">ÇB 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mg’dan (2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200 mg’a (4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200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 xml:space="preserve">ÇB 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3 g’dan (5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3 g’a (10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smartTag w:uri="urn:schemas-microsoft-com:office:smarttags" w:element="metricconverter">
              <w:smartTagPr>
                <w:attr w:name="ProductID" w:val="3 g"/>
              </w:smartTagPr>
              <w:r w:rsidRPr="003B06DA">
                <w:t>3 g</w:t>
              </w:r>
            </w:smartTag>
          </w:p>
          <w:p w:rsidR="003B06DA" w:rsidRPr="003B06DA" w:rsidRDefault="003B06DA" w:rsidP="003B06DA">
            <w:pPr>
              <w:jc w:val="center"/>
            </w:pPr>
            <w:smartTag w:uri="urn:schemas-microsoft-com:office:smarttags" w:element="metricconverter">
              <w:smartTagPr>
                <w:attr w:name="ProductID" w:val="3 g"/>
              </w:smartTagPr>
              <w:r w:rsidRPr="003B06DA">
                <w:t>3 g</w:t>
              </w:r>
            </w:smartTag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II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roofErr w:type="spellStart"/>
            <w:r w:rsidRPr="003B06DA">
              <w:rPr>
                <w:b/>
                <w:i/>
              </w:rPr>
              <w:t>Rekonstitüsyon</w:t>
            </w:r>
            <w:proofErr w:type="spellEnd"/>
            <w:r w:rsidRPr="003B06DA">
              <w:rPr>
                <w:b/>
                <w:i/>
              </w:rPr>
              <w:t xml:space="preserve"> için toz –</w:t>
            </w:r>
            <w:r w:rsidRPr="003B06DA">
              <w:rPr>
                <w:b/>
              </w:rPr>
              <w:t xml:space="preserve"> </w:t>
            </w:r>
            <w:r w:rsidRPr="003B06DA">
              <w:rPr>
                <w:b/>
                <w:bCs/>
                <w:i/>
                <w:iCs/>
              </w:rPr>
              <w:t>Çok dozlu veya</w:t>
            </w:r>
            <w:r w:rsidRPr="003B06DA">
              <w:rPr>
                <w:b/>
                <w:bCs/>
                <w:i/>
              </w:rPr>
              <w:t xml:space="preserve"> Tek doz, kısmi</w:t>
            </w:r>
            <w:r w:rsidRPr="003B06DA">
              <w:rPr>
                <w:b/>
                <w:i/>
              </w:rPr>
              <w:t xml:space="preserve"> kullanım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ind w:left="313" w:hanging="284"/>
              <w:rPr>
                <w:b/>
                <w:i/>
              </w:rPr>
            </w:pPr>
            <w:r w:rsidRPr="003B06DA">
              <w:t xml:space="preserve">18. </w:t>
            </w:r>
            <w:proofErr w:type="spellStart"/>
            <w:r w:rsidRPr="003B06DA">
              <w:t>İnfüzyonluk</w:t>
            </w:r>
            <w:proofErr w:type="spellEnd"/>
            <w:r w:rsidRPr="003B06DA">
              <w:t xml:space="preserve"> </w:t>
            </w:r>
            <w:proofErr w:type="gramStart"/>
            <w:r w:rsidRPr="003B06DA">
              <w:t>konsantre</w:t>
            </w:r>
            <w:proofErr w:type="gramEnd"/>
            <w:r w:rsidRPr="003B06DA">
              <w:t xml:space="preserve"> için toz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500 mg’dan (50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1000 mg’a (</w:t>
            </w:r>
            <w:r w:rsidRPr="003B06DA">
              <w:rPr>
                <w:sz w:val="24"/>
                <w:szCs w:val="24"/>
              </w:rPr>
              <w:t xml:space="preserve">50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20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200 </w:t>
            </w:r>
            <w:proofErr w:type="spellStart"/>
            <w:r w:rsidRPr="003B06DA">
              <w:t>IU’den</w:t>
            </w:r>
            <w:proofErr w:type="spellEnd"/>
            <w:r w:rsidRPr="003B06DA">
              <w:t xml:space="preserve"> (100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600 </w:t>
            </w:r>
            <w:proofErr w:type="spellStart"/>
            <w:r w:rsidRPr="003B06DA">
              <w:t>IU’ye</w:t>
            </w:r>
            <w:proofErr w:type="spellEnd"/>
            <w:r w:rsidRPr="003B06DA">
              <w:t xml:space="preserve"> (200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20 IU/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30 IU/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500 mg’dan (50 </w:t>
            </w:r>
            <w:proofErr w:type="spellStart"/>
            <w:r w:rsidRPr="003B06DA">
              <w:t>mL’ye</w:t>
            </w:r>
            <w:proofErr w:type="spellEnd"/>
            <w:r w:rsidRPr="003B06DA">
              <w:t>)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i/>
              </w:rPr>
            </w:pPr>
            <w:r w:rsidRPr="003B06DA">
              <w:t>1000 mg’a (100mL’ye)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10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II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r w:rsidRPr="003B06DA">
              <w:rPr>
                <w:b/>
                <w:i/>
              </w:rPr>
              <w:t xml:space="preserve">Çözelti için </w:t>
            </w:r>
            <w:proofErr w:type="gramStart"/>
            <w:r w:rsidRPr="003B06DA">
              <w:rPr>
                <w:b/>
                <w:i/>
              </w:rPr>
              <w:t>konsantre</w:t>
            </w:r>
            <w:proofErr w:type="gramEnd"/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ind w:left="313" w:hanging="313"/>
            </w:pPr>
            <w:r w:rsidRPr="003B06DA">
              <w:t xml:space="preserve">19. </w:t>
            </w:r>
            <w:proofErr w:type="spellStart"/>
            <w:r w:rsidRPr="003B06DA">
              <w:t>İnfüzyonluk</w:t>
            </w:r>
            <w:proofErr w:type="spellEnd"/>
            <w:r w:rsidRPr="003B06DA">
              <w:t xml:space="preserve"> çözelti için </w:t>
            </w:r>
            <w:proofErr w:type="gramStart"/>
            <w:r w:rsidRPr="003B06DA">
              <w:t>konsantre</w:t>
            </w:r>
            <w:proofErr w:type="gram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 g/10 </w:t>
            </w:r>
            <w:proofErr w:type="spellStart"/>
            <w:r w:rsidRPr="003B06DA">
              <w:t>mL’den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2 g/10 </w:t>
            </w:r>
            <w:proofErr w:type="spellStart"/>
            <w:r w:rsidRPr="003B06DA">
              <w:t>mL’ye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  <w:rPr>
                <w:b/>
                <w:sz w:val="20"/>
                <w:szCs w:val="20"/>
              </w:rPr>
            </w:pPr>
            <w:r w:rsidRPr="003B06DA">
              <w:rPr>
                <w:b/>
                <w:sz w:val="20"/>
                <w:szCs w:val="20"/>
              </w:rPr>
              <w:t>SEYRELTMEDEN ÖNCE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100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200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 xml:space="preserve">ÇB </w:t>
            </w:r>
          </w:p>
          <w:p w:rsidR="003B06DA" w:rsidRPr="003B06DA" w:rsidRDefault="003B06DA" w:rsidP="003B06DA">
            <w:pPr>
              <w:jc w:val="center"/>
            </w:pP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 g/10 </w:t>
            </w:r>
            <w:proofErr w:type="spellStart"/>
            <w:r w:rsidRPr="003B06DA">
              <w:t>mL’den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i/>
              </w:rPr>
            </w:pPr>
            <w:r w:rsidRPr="003B06DA">
              <w:t xml:space="preserve">2 g/20 </w:t>
            </w:r>
            <w:proofErr w:type="spellStart"/>
            <w:r w:rsidRPr="003B06DA">
              <w:t>mL’ye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100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II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r w:rsidRPr="003B06DA">
              <w:rPr>
                <w:b/>
              </w:rPr>
              <w:t>C. LOKAL PREPARATLAR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r w:rsidRPr="003B06DA">
              <w:rPr>
                <w:b/>
                <w:i/>
              </w:rPr>
              <w:t>Deri için Yarı katı – Çok dozlu veya Tek doz, kısmi kullanım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  <w:r w:rsidRPr="003B06DA">
              <w:t>20. Krem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20 mg/g’dan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100 mg/g’a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(</w:t>
            </w:r>
            <w:proofErr w:type="spellStart"/>
            <w:r w:rsidRPr="003B06DA">
              <w:t>saşe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20 mg/g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100 mg/g</w:t>
            </w:r>
          </w:p>
          <w:p w:rsidR="003B06DA" w:rsidRPr="003B06DA" w:rsidRDefault="003B06DA" w:rsidP="003B0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20 mg/g’dan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40 mg/2 g’a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(</w:t>
            </w:r>
            <w:proofErr w:type="spellStart"/>
            <w:r w:rsidRPr="003B06DA">
              <w:t>saşe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20 mg/g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20 mg/g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20g </w:t>
            </w:r>
            <w:proofErr w:type="spellStart"/>
            <w:r w:rsidRPr="003B06DA">
              <w:t>tüp’ten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30g </w:t>
            </w:r>
            <w:proofErr w:type="spellStart"/>
            <w:r w:rsidRPr="003B06DA">
              <w:t>tüp’e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i/>
              </w:rPr>
            </w:pPr>
            <w:r w:rsidRPr="003B06DA">
              <w:t>(100 mg/</w:t>
            </w:r>
            <w:proofErr w:type="spellStart"/>
            <w:r w:rsidRPr="003B06DA">
              <w:t>g’lık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mg/g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100 mg/g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r w:rsidRPr="003B06DA">
              <w:rPr>
                <w:b/>
                <w:i/>
              </w:rPr>
              <w:t>Göz preparatları, kullanıma hazır sıvı- Tek doz, toplam kullanım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rPr>
                <w:b/>
                <w:i/>
              </w:rPr>
            </w:pPr>
            <w:r w:rsidRPr="003B06DA">
              <w:t>21. Göz damlaları, Çözelti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10 mg/</w:t>
            </w:r>
            <w:proofErr w:type="gramStart"/>
            <w:r w:rsidRPr="003B06DA">
              <w:t>0.5</w:t>
            </w:r>
            <w:proofErr w:type="gramEnd"/>
            <w:r w:rsidRPr="003B06DA">
              <w:t xml:space="preserve"> </w:t>
            </w:r>
            <w:proofErr w:type="spellStart"/>
            <w:r w:rsidRPr="003B06DA">
              <w:t>mL’den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i/>
              </w:rPr>
            </w:pPr>
            <w:r w:rsidRPr="003B06DA">
              <w:t>20 mg/</w:t>
            </w:r>
            <w:proofErr w:type="gramStart"/>
            <w:r w:rsidRPr="003B06DA">
              <w:t>0.5</w:t>
            </w:r>
            <w:proofErr w:type="gramEnd"/>
            <w:r w:rsidRPr="003B06DA">
              <w:t xml:space="preserve"> </w:t>
            </w:r>
            <w:proofErr w:type="spellStart"/>
            <w:r w:rsidRPr="003B06DA">
              <w:t>mL’ye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 mg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20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roofErr w:type="spellStart"/>
            <w:r w:rsidRPr="003B06DA">
              <w:rPr>
                <w:b/>
                <w:i/>
              </w:rPr>
              <w:t>Transdermal</w:t>
            </w:r>
            <w:proofErr w:type="spellEnd"/>
            <w:r w:rsidRPr="003B06DA">
              <w:rPr>
                <w:b/>
                <w:i/>
              </w:rPr>
              <w:t xml:space="preserve"> yama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t xml:space="preserve">22. </w:t>
            </w:r>
            <w:proofErr w:type="spellStart"/>
            <w:r w:rsidRPr="003B06DA">
              <w:t>Transdermal</w:t>
            </w:r>
            <w:proofErr w:type="spellEnd"/>
            <w:r w:rsidRPr="003B06DA">
              <w:t xml:space="preserve"> yama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2 mg’dan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3 mg’a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25 µg/24 saat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30 µg/24 saat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 xml:space="preserve">ÇB 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2 mg’dan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i/>
              </w:rPr>
            </w:pPr>
            <w:r w:rsidRPr="003B06DA">
              <w:t>2.5 mg’a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25 µg/24 saat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25 µg/24 saat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II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r w:rsidRPr="003B06DA">
              <w:rPr>
                <w:b/>
                <w:i/>
              </w:rPr>
              <w:t>Göz preparatları, kullanıma hazır sıvı- Çok dozlu veya Tek doz, kısmi kullanım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t>23. Göz damlaları, Çözelti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50 mg/5 </w:t>
            </w:r>
            <w:proofErr w:type="spellStart"/>
            <w:r w:rsidRPr="003B06DA">
              <w:t>mL’den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mg/5 </w:t>
            </w:r>
            <w:proofErr w:type="spellStart"/>
            <w:r w:rsidRPr="003B06DA">
              <w:t>mL’ye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20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 xml:space="preserve">ÇB 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50 mg/5 </w:t>
            </w:r>
            <w:proofErr w:type="spellStart"/>
            <w:r w:rsidRPr="003B06DA">
              <w:t>mL’den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mg/10 </w:t>
            </w:r>
            <w:proofErr w:type="spellStart"/>
            <w:r w:rsidRPr="003B06DA">
              <w:t>mL’ye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 mg/</w:t>
            </w:r>
            <w:proofErr w:type="spellStart"/>
            <w:r w:rsidRPr="003B06DA">
              <w:t>mL</w:t>
            </w:r>
            <w:proofErr w:type="spellEnd"/>
          </w:p>
          <w:p w:rsidR="003B06DA" w:rsidRPr="003B06DA" w:rsidRDefault="003B06DA" w:rsidP="003B06DA">
            <w:pPr>
              <w:jc w:val="center"/>
            </w:pPr>
            <w:r w:rsidRPr="003B06DA">
              <w:t>10 mg/</w:t>
            </w:r>
            <w:proofErr w:type="spellStart"/>
            <w:r w:rsidRPr="003B06DA">
              <w:t>mL</w:t>
            </w:r>
            <w:proofErr w:type="spellEnd"/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highlight w:val="magenta"/>
              </w:rPr>
            </w:pPr>
            <w:r w:rsidRPr="003B06DA">
              <w:rPr>
                <w:b/>
                <w:i/>
              </w:rPr>
              <w:t>Lokal preparatlar – farklı kaplar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t>24. Deri spreyi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Sprey </w:t>
            </w:r>
            <w:proofErr w:type="spellStart"/>
            <w:r w:rsidRPr="003B06DA">
              <w:t>pompası’ndan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Basınçlı </w:t>
            </w:r>
            <w:proofErr w:type="spellStart"/>
            <w:r w:rsidRPr="003B06DA">
              <w:t>kaplar’a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  <w:rPr>
                <w:highlight w:val="magenta"/>
              </w:rPr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t>25. Krem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proofErr w:type="spellStart"/>
            <w:r w:rsidRPr="003B06DA">
              <w:t>Kavanoz’dan</w:t>
            </w:r>
            <w:proofErr w:type="spellEnd"/>
            <w:r w:rsidRPr="003B06DA">
              <w:t xml:space="preserve"> 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proofErr w:type="spellStart"/>
            <w:r w:rsidRPr="003B06DA">
              <w:t>Tüp’e</w:t>
            </w:r>
            <w:proofErr w:type="spellEnd"/>
            <w:r w:rsidRPr="003B06DA">
              <w:t xml:space="preserve"> 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II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highlight w:val="magenta"/>
              </w:rPr>
            </w:pPr>
            <w:r w:rsidRPr="003B06DA">
              <w:rPr>
                <w:b/>
              </w:rPr>
              <w:t>D. İNHALASYON PREPARATLARI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highlight w:val="magenta"/>
              </w:rPr>
            </w:pPr>
            <w:r w:rsidRPr="003B06DA">
              <w:rPr>
                <w:b/>
                <w:i/>
              </w:rPr>
              <w:t>Kullanıma hazır sıvı- Çok dozlu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ind w:left="313" w:hanging="313"/>
            </w:pPr>
            <w:r w:rsidRPr="003B06DA">
              <w:t xml:space="preserve">26. Basınçlı </w:t>
            </w:r>
            <w:proofErr w:type="spellStart"/>
            <w:r w:rsidRPr="003B06DA">
              <w:t>inhalasyon</w:t>
            </w:r>
            <w:proofErr w:type="spellEnd"/>
            <w:r w:rsidRPr="003B06DA">
              <w:t xml:space="preserve"> çözeltisi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5 mg/ </w:t>
            </w:r>
            <w:proofErr w:type="spellStart"/>
            <w:r w:rsidRPr="003B06DA">
              <w:t>püskürtme’den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10 mg/</w:t>
            </w:r>
            <w:proofErr w:type="spellStart"/>
            <w:r w:rsidRPr="003B06DA">
              <w:t>püskürtme’ye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5 mg/püskürtme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10 mg/püskürtme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Kap başına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60 </w:t>
            </w:r>
            <w:proofErr w:type="spellStart"/>
            <w:r w:rsidRPr="003B06DA">
              <w:t>püskürtme’den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</w:t>
            </w:r>
            <w:proofErr w:type="spellStart"/>
            <w:r w:rsidRPr="003B06DA">
              <w:t>püskürtme’ye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i/>
              </w:rPr>
            </w:pPr>
            <w:r w:rsidRPr="003B06DA">
              <w:t xml:space="preserve"> (5 mg/püskürtme için)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  <w:p w:rsidR="003B06DA" w:rsidRPr="003B06DA" w:rsidRDefault="003B06DA" w:rsidP="003B06DA">
            <w:pPr>
              <w:jc w:val="center"/>
            </w:pPr>
            <w:r w:rsidRPr="003B06DA">
              <w:t>5 mg/püskürtme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5 mg/püskürtme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</w:p>
          <w:p w:rsidR="003B06DA" w:rsidRPr="003B06DA" w:rsidRDefault="003B06DA" w:rsidP="003B06DA">
            <w:pPr>
              <w:jc w:val="center"/>
            </w:pPr>
            <w:r w:rsidRPr="003B06DA">
              <w:t>Tip IB</w:t>
            </w:r>
          </w:p>
          <w:p w:rsidR="003B06DA" w:rsidRPr="003B06DA" w:rsidRDefault="003B06DA" w:rsidP="003B06DA">
            <w:pPr>
              <w:jc w:val="center"/>
              <w:rPr>
                <w:highlight w:val="magenta"/>
              </w:rPr>
            </w:pP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Pr>
              <w:rPr>
                <w:b/>
                <w:i/>
              </w:rPr>
            </w:pPr>
            <w:r w:rsidRPr="003B06DA">
              <w:rPr>
                <w:b/>
                <w:i/>
              </w:rPr>
              <w:t>Toz – Tek doz, toplam kullanım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ind w:left="313" w:hanging="313"/>
            </w:pPr>
            <w:r w:rsidRPr="003B06DA">
              <w:t xml:space="preserve">27. </w:t>
            </w:r>
            <w:proofErr w:type="spellStart"/>
            <w:r w:rsidRPr="003B06DA">
              <w:t>İnhalasyon</w:t>
            </w:r>
            <w:proofErr w:type="spellEnd"/>
            <w:r w:rsidRPr="003B06DA">
              <w:t xml:space="preserve"> tozu, sert kapsül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1 mg’dan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i/>
              </w:rPr>
            </w:pPr>
            <w:r w:rsidRPr="003B06DA">
              <w:t>2 mg’a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 mg/püskürtme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2 mg/püskürtme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551B7B" w:rsidRDefault="00551B7B" w:rsidP="003B06DA">
            <w:pPr>
              <w:rPr>
                <w:b/>
                <w:i/>
              </w:rPr>
            </w:pPr>
          </w:p>
          <w:p w:rsidR="003B06DA" w:rsidRPr="003B06DA" w:rsidRDefault="003B06DA" w:rsidP="003B06DA">
            <w:r w:rsidRPr="003B06DA">
              <w:rPr>
                <w:b/>
                <w:i/>
              </w:rPr>
              <w:lastRenderedPageBreak/>
              <w:t>Toz – Çok dozlu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lastRenderedPageBreak/>
              <w:t xml:space="preserve">28. </w:t>
            </w:r>
            <w:proofErr w:type="spellStart"/>
            <w:r w:rsidRPr="003B06DA">
              <w:t>İnhalasyon</w:t>
            </w:r>
            <w:proofErr w:type="spellEnd"/>
            <w:r w:rsidRPr="003B06DA">
              <w:t xml:space="preserve"> tozu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6 mg/</w:t>
            </w:r>
            <w:proofErr w:type="spellStart"/>
            <w:r w:rsidRPr="003B06DA">
              <w:t>püskürtme’den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12 mg/</w:t>
            </w:r>
            <w:proofErr w:type="spellStart"/>
            <w:r w:rsidRPr="003B06DA">
              <w:t>püskürtme’ye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6 mg/püskürtme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12 mg/püskürtme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Kap başına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60 </w:t>
            </w:r>
            <w:proofErr w:type="spellStart"/>
            <w:r w:rsidRPr="003B06DA">
              <w:t>püskürtme’den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100 </w:t>
            </w:r>
            <w:proofErr w:type="spellStart"/>
            <w:r w:rsidRPr="003B06DA">
              <w:t>püskürtme’ye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 (6 mg/püskürtme için)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  <w:p w:rsidR="003B06DA" w:rsidRPr="003B06DA" w:rsidRDefault="003B06DA" w:rsidP="003B06DA">
            <w:pPr>
              <w:jc w:val="center"/>
            </w:pPr>
            <w:r w:rsidRPr="003B06DA">
              <w:t>6 mg/püskürtme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6 mg/püskürtme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</w:p>
          <w:p w:rsidR="003B06DA" w:rsidRPr="003B06DA" w:rsidRDefault="003B06DA" w:rsidP="003B06DA">
            <w:pPr>
              <w:jc w:val="center"/>
            </w:pPr>
            <w:r w:rsidRPr="003B06DA">
              <w:t>Tip IB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proofErr w:type="spellStart"/>
            <w:r w:rsidRPr="003B06DA">
              <w:rPr>
                <w:b/>
                <w:i/>
              </w:rPr>
              <w:t>İnhalasyon</w:t>
            </w:r>
            <w:proofErr w:type="spellEnd"/>
            <w:r w:rsidRPr="003B06DA">
              <w:rPr>
                <w:b/>
                <w:i/>
              </w:rPr>
              <w:t xml:space="preserve"> </w:t>
            </w:r>
            <w:proofErr w:type="spellStart"/>
            <w:r w:rsidRPr="003B06DA">
              <w:rPr>
                <w:b/>
                <w:i/>
              </w:rPr>
              <w:t>preperatları</w:t>
            </w:r>
            <w:proofErr w:type="spellEnd"/>
            <w:r w:rsidRPr="003B06DA">
              <w:rPr>
                <w:b/>
                <w:i/>
              </w:rPr>
              <w:t xml:space="preserve"> – farklı kaplar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t xml:space="preserve">29. </w:t>
            </w:r>
            <w:proofErr w:type="spellStart"/>
            <w:r w:rsidRPr="003B06DA">
              <w:t>İnhalasyon</w:t>
            </w:r>
            <w:proofErr w:type="spellEnd"/>
            <w:r w:rsidRPr="003B06DA">
              <w:t xml:space="preserve"> tozu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 xml:space="preserve">Sert </w:t>
            </w:r>
            <w:proofErr w:type="spellStart"/>
            <w:r w:rsidRPr="003B06DA">
              <w:t>kapsül’den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proofErr w:type="spellStart"/>
            <w:r w:rsidRPr="003B06DA">
              <w:t>Disk’e</w:t>
            </w:r>
            <w:proofErr w:type="spellEnd"/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r w:rsidRPr="003B06DA">
              <w:rPr>
                <w:b/>
                <w:i/>
              </w:rPr>
              <w:t>İtici gaz değişikliği</w:t>
            </w:r>
          </w:p>
        </w:tc>
      </w:tr>
      <w:tr w:rsidR="003B06DA" w:rsidRPr="003B06DA" w:rsidTr="00654704">
        <w:trPr>
          <w:tblHeader/>
        </w:trPr>
        <w:tc>
          <w:tcPr>
            <w:tcW w:w="5665" w:type="dxa"/>
            <w:gridSpan w:val="2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t>30. Yeni itici gaz, etkin madde(</w:t>
            </w:r>
            <w:proofErr w:type="spellStart"/>
            <w:r w:rsidRPr="003B06DA">
              <w:t>ler</w:t>
            </w:r>
            <w:proofErr w:type="spellEnd"/>
            <w:r w:rsidRPr="003B06DA">
              <w:t xml:space="preserve">)de </w:t>
            </w:r>
            <w:proofErr w:type="gramStart"/>
            <w:r w:rsidRPr="003B06DA">
              <w:t>kantitatif</w:t>
            </w:r>
            <w:proofErr w:type="gramEnd"/>
            <w:r w:rsidRPr="003B06DA">
              <w:t xml:space="preserve"> değişiklik </w:t>
            </w:r>
          </w:p>
          <w:p w:rsidR="007C506B" w:rsidRDefault="003B06DA" w:rsidP="007C506B">
            <w:pPr>
              <w:tabs>
                <w:tab w:val="left" w:pos="2139"/>
                <w:tab w:val="left" w:pos="3600"/>
              </w:tabs>
            </w:pPr>
            <w:r w:rsidRPr="003B06DA">
              <w:t xml:space="preserve">       </w:t>
            </w:r>
            <w:proofErr w:type="gramStart"/>
            <w:r w:rsidRPr="003B06DA">
              <w:t>veya</w:t>
            </w:r>
            <w:proofErr w:type="gramEnd"/>
            <w:r w:rsidRPr="003B06DA">
              <w:t xml:space="preserve"> </w:t>
            </w:r>
            <w:proofErr w:type="spellStart"/>
            <w:r w:rsidRPr="003B06DA">
              <w:t>biyoyararlanımda</w:t>
            </w:r>
            <w:proofErr w:type="spellEnd"/>
            <w:r w:rsidRPr="003B06DA">
              <w:t xml:space="preserve"> değişiklik, veya </w:t>
            </w:r>
            <w:r w:rsidR="007C506B">
              <w:t xml:space="preserve">her çalıştırmada     </w:t>
            </w:r>
          </w:p>
          <w:p w:rsidR="007C506B" w:rsidRDefault="007C506B" w:rsidP="003B06DA">
            <w:pPr>
              <w:tabs>
                <w:tab w:val="left" w:pos="2139"/>
                <w:tab w:val="left" w:pos="3600"/>
              </w:tabs>
            </w:pPr>
            <w:r>
              <w:t xml:space="preserve">       </w:t>
            </w:r>
            <w:r w:rsidR="00697BD9">
              <w:t>(</w:t>
            </w:r>
            <w:proofErr w:type="spellStart"/>
            <w:r>
              <w:t>aktüasyon</w:t>
            </w:r>
            <w:proofErr w:type="spellEnd"/>
            <w:r>
              <w:t xml:space="preserve">) farklı miktar veya farklı </w:t>
            </w:r>
            <w:proofErr w:type="spellStart"/>
            <w:r>
              <w:t>dozlama</w:t>
            </w:r>
            <w:proofErr w:type="spellEnd"/>
            <w:r>
              <w:t xml:space="preserve"> programı, </w:t>
            </w:r>
          </w:p>
          <w:p w:rsidR="003B06DA" w:rsidRPr="003B06DA" w:rsidRDefault="007C506B" w:rsidP="003B06DA">
            <w:pPr>
              <w:tabs>
                <w:tab w:val="left" w:pos="2139"/>
                <w:tab w:val="left" w:pos="3600"/>
              </w:tabs>
            </w:pPr>
            <w:r>
              <w:t xml:space="preserve">       </w:t>
            </w:r>
            <w:proofErr w:type="gramStart"/>
            <w:r>
              <w:t>veya</w:t>
            </w:r>
            <w:proofErr w:type="gramEnd"/>
            <w:r>
              <w:t xml:space="preserve"> </w:t>
            </w:r>
            <w:r w:rsidR="003B06DA" w:rsidRPr="003B06DA">
              <w:t xml:space="preserve">farklı </w:t>
            </w:r>
            <w:proofErr w:type="spellStart"/>
            <w:r w:rsidR="003B06DA" w:rsidRPr="003B06DA">
              <w:t>farmasötik</w:t>
            </w:r>
            <w:proofErr w:type="spellEnd"/>
            <w:r w:rsidR="003B06DA" w:rsidRPr="003B06DA">
              <w:t xml:space="preserve"> şekil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  <w:p w:rsidR="003B06DA" w:rsidRPr="003B06DA" w:rsidRDefault="003B06DA" w:rsidP="003B06DA">
            <w:pPr>
              <w:jc w:val="center"/>
            </w:pPr>
          </w:p>
        </w:tc>
      </w:tr>
      <w:tr w:rsidR="003B06DA" w:rsidRPr="003B06DA" w:rsidTr="00654704">
        <w:trPr>
          <w:trHeight w:val="564"/>
          <w:tblHeader/>
        </w:trPr>
        <w:tc>
          <w:tcPr>
            <w:tcW w:w="5665" w:type="dxa"/>
            <w:gridSpan w:val="2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ind w:left="313" w:hanging="284"/>
              <w:rPr>
                <w:i/>
              </w:rPr>
            </w:pPr>
            <w:r w:rsidRPr="003B06DA">
              <w:t>31. Yeni itici gaz, aynı etkin madde(</w:t>
            </w:r>
            <w:proofErr w:type="spellStart"/>
            <w:r w:rsidRPr="003B06DA">
              <w:t>ler</w:t>
            </w:r>
            <w:proofErr w:type="spellEnd"/>
            <w:r w:rsidRPr="003B06DA">
              <w:t xml:space="preserve">) ve yardımcı maddeler ve aynı </w:t>
            </w:r>
            <w:proofErr w:type="spellStart"/>
            <w:r w:rsidRPr="003B06DA">
              <w:t>farmasötik</w:t>
            </w:r>
            <w:proofErr w:type="spellEnd"/>
            <w:r w:rsidRPr="003B06DA">
              <w:t xml:space="preserve"> şekil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II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r w:rsidRPr="003B06DA">
              <w:rPr>
                <w:b/>
              </w:rPr>
              <w:t>E. REKTAL veya VAJİNAL KULLANIM İÇİN PREPARATLAR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r w:rsidRPr="003B06DA">
              <w:rPr>
                <w:b/>
                <w:i/>
              </w:rPr>
              <w:t>(Yarı)- katı, kullanıma hazır sıvı – Tek doz, toplam kullanım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t xml:space="preserve">32. </w:t>
            </w:r>
            <w:proofErr w:type="spellStart"/>
            <w:r w:rsidRPr="003B06DA">
              <w:t>Supozituvar</w:t>
            </w:r>
            <w:proofErr w:type="spellEnd"/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100 mg’dan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200 mg’a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200 mg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ÇB</w:t>
            </w:r>
          </w:p>
        </w:tc>
      </w:tr>
      <w:tr w:rsidR="003B06DA" w:rsidRPr="003B06DA" w:rsidTr="00654704">
        <w:trPr>
          <w:tblHeader/>
        </w:trPr>
        <w:tc>
          <w:tcPr>
            <w:tcW w:w="9351" w:type="dxa"/>
            <w:gridSpan w:val="4"/>
            <w:shd w:val="clear" w:color="auto" w:fill="BDD6EE" w:themeFill="accent1" w:themeFillTint="66"/>
          </w:tcPr>
          <w:p w:rsidR="003B06DA" w:rsidRPr="003B06DA" w:rsidRDefault="003B06DA" w:rsidP="003B06DA">
            <w:r w:rsidRPr="003B06DA">
              <w:rPr>
                <w:b/>
                <w:i/>
              </w:rPr>
              <w:t>(Yarı)- katı, kullanıma hazır sıvı – Çok dozlu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 w:val="restart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  <w:r w:rsidRPr="003B06DA">
              <w:t>33. Vajinal krem</w:t>
            </w: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20 mg/g’dan</w:t>
            </w:r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r w:rsidRPr="003B06DA">
              <w:t>100 mg/g’a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20 mg/g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100 mg/g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 xml:space="preserve">ÇB </w:t>
            </w:r>
          </w:p>
        </w:tc>
      </w:tr>
      <w:tr w:rsidR="003B06DA" w:rsidRPr="003B06DA" w:rsidTr="00654704">
        <w:trPr>
          <w:tblHeader/>
        </w:trPr>
        <w:tc>
          <w:tcPr>
            <w:tcW w:w="2689" w:type="dxa"/>
            <w:vMerge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</w:pPr>
          </w:p>
        </w:tc>
        <w:tc>
          <w:tcPr>
            <w:tcW w:w="2976" w:type="dxa"/>
          </w:tcPr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smartTag w:uri="urn:schemas-microsoft-com:office:smarttags" w:element="metricconverter">
              <w:smartTagPr>
                <w:attr w:name="ProductID" w:val="20 g"/>
              </w:smartTagPr>
              <w:r w:rsidRPr="003B06DA">
                <w:t>20 g</w:t>
              </w:r>
            </w:smartTag>
            <w:r w:rsidRPr="003B06DA">
              <w:t xml:space="preserve"> </w:t>
            </w:r>
            <w:proofErr w:type="spellStart"/>
            <w:r w:rsidRPr="003B06DA">
              <w:t>tüp’ten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</w:pPr>
            <w:smartTag w:uri="urn:schemas-microsoft-com:office:smarttags" w:element="metricconverter">
              <w:smartTagPr>
                <w:attr w:name="ProductID" w:val="30 g"/>
              </w:smartTagPr>
              <w:r w:rsidRPr="003B06DA">
                <w:t>30 g</w:t>
              </w:r>
            </w:smartTag>
            <w:r w:rsidRPr="003B06DA">
              <w:t xml:space="preserve"> </w:t>
            </w:r>
            <w:proofErr w:type="spellStart"/>
            <w:r w:rsidRPr="003B06DA">
              <w:t>tüp’e</w:t>
            </w:r>
            <w:proofErr w:type="spellEnd"/>
          </w:p>
          <w:p w:rsidR="003B06DA" w:rsidRPr="003B06DA" w:rsidRDefault="003B06DA" w:rsidP="003B06DA">
            <w:pPr>
              <w:tabs>
                <w:tab w:val="left" w:pos="2139"/>
                <w:tab w:val="left" w:pos="3600"/>
              </w:tabs>
              <w:jc w:val="center"/>
              <w:rPr>
                <w:i/>
              </w:rPr>
            </w:pPr>
            <w:r w:rsidRPr="003B06DA">
              <w:t>(100 mg/</w:t>
            </w:r>
            <w:proofErr w:type="spellStart"/>
            <w:r w:rsidRPr="003B06DA">
              <w:t>g’lık</w:t>
            </w:r>
            <w:proofErr w:type="spellEnd"/>
            <w:r w:rsidRPr="003B06DA">
              <w:t>)</w:t>
            </w:r>
          </w:p>
        </w:tc>
        <w:tc>
          <w:tcPr>
            <w:tcW w:w="2410" w:type="dxa"/>
          </w:tcPr>
          <w:p w:rsidR="003B06DA" w:rsidRPr="003B06DA" w:rsidRDefault="003B06DA" w:rsidP="003B06DA">
            <w:pPr>
              <w:jc w:val="center"/>
            </w:pPr>
            <w:r w:rsidRPr="003B06DA">
              <w:t>100 mg/g</w:t>
            </w:r>
          </w:p>
          <w:p w:rsidR="003B06DA" w:rsidRPr="003B06DA" w:rsidRDefault="003B06DA" w:rsidP="003B06DA">
            <w:pPr>
              <w:jc w:val="center"/>
            </w:pPr>
            <w:r w:rsidRPr="003B06DA">
              <w:t>100 mg/g</w:t>
            </w:r>
          </w:p>
        </w:tc>
        <w:tc>
          <w:tcPr>
            <w:tcW w:w="1276" w:type="dxa"/>
            <w:vAlign w:val="center"/>
          </w:tcPr>
          <w:p w:rsidR="003B06DA" w:rsidRPr="003B06DA" w:rsidRDefault="003B06DA" w:rsidP="003B06DA">
            <w:pPr>
              <w:jc w:val="center"/>
            </w:pPr>
            <w:r w:rsidRPr="003B06DA">
              <w:t>Tip IB</w:t>
            </w:r>
          </w:p>
          <w:p w:rsidR="003B06DA" w:rsidRPr="003B06DA" w:rsidRDefault="003B06DA" w:rsidP="003B06DA">
            <w:pPr>
              <w:jc w:val="center"/>
            </w:pPr>
          </w:p>
        </w:tc>
      </w:tr>
    </w:tbl>
    <w:p w:rsidR="00DD435D" w:rsidRDefault="00DD435D" w:rsidP="00DD435D">
      <w:pPr>
        <w:spacing w:after="120" w:line="276" w:lineRule="auto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p w:rsidR="00F10BCA" w:rsidRPr="00F10BCA" w:rsidRDefault="00F10BCA" w:rsidP="00F10BCA">
      <w:pPr>
        <w:spacing w:after="120" w:line="276" w:lineRule="auto"/>
        <w:ind w:firstLine="709"/>
        <w:jc w:val="both"/>
        <w:rPr>
          <w:rFonts w:cstheme="minorHAnsi"/>
          <w:bCs/>
          <w:sz w:val="24"/>
          <w:szCs w:val="24"/>
        </w:rPr>
      </w:pPr>
    </w:p>
    <w:sectPr w:rsidR="00F10BCA" w:rsidRPr="00F1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08CF"/>
    <w:multiLevelType w:val="hybridMultilevel"/>
    <w:tmpl w:val="41F01F9C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E4"/>
    <w:rsid w:val="00011643"/>
    <w:rsid w:val="00042F3D"/>
    <w:rsid w:val="000435CA"/>
    <w:rsid w:val="0005114D"/>
    <w:rsid w:val="001912C6"/>
    <w:rsid w:val="001C38F8"/>
    <w:rsid w:val="001F1224"/>
    <w:rsid w:val="003B06DA"/>
    <w:rsid w:val="004573EE"/>
    <w:rsid w:val="004F2747"/>
    <w:rsid w:val="00551B7B"/>
    <w:rsid w:val="00654704"/>
    <w:rsid w:val="00697BD9"/>
    <w:rsid w:val="00764E1E"/>
    <w:rsid w:val="007C506B"/>
    <w:rsid w:val="009430E2"/>
    <w:rsid w:val="00A733E9"/>
    <w:rsid w:val="00DD435D"/>
    <w:rsid w:val="00E27AE4"/>
    <w:rsid w:val="00F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52AA-B4A5-4641-BDA2-8C5B3074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430E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430E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10BCA"/>
    <w:pPr>
      <w:ind w:left="720"/>
      <w:contextualSpacing/>
    </w:pPr>
  </w:style>
  <w:style w:type="table" w:styleId="TabloKlavuzu">
    <w:name w:val="Table Grid"/>
    <w:basedOn w:val="NormalTablo"/>
    <w:uiPriority w:val="39"/>
    <w:rsid w:val="003B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SAAT</dc:creator>
  <cp:keywords/>
  <dc:description/>
  <cp:lastModifiedBy>Nihal SAAT</cp:lastModifiedBy>
  <cp:revision>8</cp:revision>
  <dcterms:created xsi:type="dcterms:W3CDTF">2017-09-12T10:46:00Z</dcterms:created>
  <dcterms:modified xsi:type="dcterms:W3CDTF">2017-09-19T11:24:00Z</dcterms:modified>
</cp:coreProperties>
</file>