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F" w:rsidRPr="005A3354" w:rsidRDefault="00141D28" w:rsidP="000E5B8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3354">
        <w:rPr>
          <w:rFonts w:ascii="Times New Roman" w:eastAsia="Times New Roman" w:hAnsi="Times New Roman" w:cs="Times New Roman"/>
          <w:b/>
          <w:sz w:val="24"/>
          <w:szCs w:val="24"/>
        </w:rPr>
        <w:t xml:space="preserve">ENDİKASYON DIŞI İLAÇ KULLANIMI </w:t>
      </w:r>
      <w:r w:rsidR="002B3D61" w:rsidRPr="005A3354">
        <w:rPr>
          <w:rFonts w:ascii="Times New Roman" w:eastAsia="Times New Roman" w:hAnsi="Times New Roman" w:cs="Times New Roman"/>
          <w:b/>
          <w:sz w:val="24"/>
          <w:szCs w:val="24"/>
        </w:rPr>
        <w:t>KILAVUZU</w:t>
      </w:r>
    </w:p>
    <w:p w:rsidR="000F245F" w:rsidRPr="005938C0" w:rsidRDefault="002B3D6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Amaç </w:t>
      </w:r>
    </w:p>
    <w:p w:rsidR="00141D28" w:rsidRPr="005938C0" w:rsidRDefault="002B3D6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MADDE 1 </w:t>
      </w: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- (1) Bu Kılavuz</w:t>
      </w:r>
      <w:r w:rsidR="00141D28"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41D28" w:rsidRPr="005938C0">
        <w:rPr>
          <w:rFonts w:ascii="Times New Roman" w:eastAsia="Times New Roman" w:hAnsi="Times New Roman" w:cs="Times New Roman"/>
          <w:sz w:val="24"/>
          <w:szCs w:val="24"/>
        </w:rPr>
        <w:t xml:space="preserve"> endikasyon dışı (off label use) kullanılan ilaçların bilimsel veriler doğrultusunda tıbbi, etik, hukukî ve akılcı kullanımını temin etmek</w:t>
      </w:r>
      <w:r w:rsidR="0070744F" w:rsidRPr="005938C0">
        <w:rPr>
          <w:rFonts w:ascii="Times New Roman" w:eastAsia="Times New Roman" w:hAnsi="Times New Roman" w:cs="Times New Roman"/>
          <w:sz w:val="24"/>
          <w:szCs w:val="24"/>
        </w:rPr>
        <w:t xml:space="preserve"> ve bu süreçteki usûl ve esasları belirlemek</w:t>
      </w:r>
      <w:r w:rsidR="00141D28" w:rsidRPr="005938C0">
        <w:rPr>
          <w:rFonts w:ascii="Times New Roman" w:eastAsia="Times New Roman" w:hAnsi="Times New Roman" w:cs="Times New Roman"/>
          <w:sz w:val="24"/>
          <w:szCs w:val="24"/>
        </w:rPr>
        <w:t xml:space="preserve"> amacıyla hazırlanmıştır.</w:t>
      </w:r>
    </w:p>
    <w:p w:rsidR="000F245F" w:rsidRPr="005938C0" w:rsidRDefault="002B3D6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</w:p>
    <w:p w:rsidR="000F245F" w:rsidRPr="005938C0" w:rsidRDefault="002B3D61" w:rsidP="000E5B8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2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(1) Bu Kılavuz; 11/10/2011 tarihli ve 663 sayılı Sağlık Bakanlığı ve Bağlı Kuruluşlarının Teşkilat ve Görevleri Ha</w:t>
      </w:r>
      <w:r w:rsidR="0070744F" w:rsidRPr="005938C0">
        <w:rPr>
          <w:rFonts w:ascii="Times New Roman" w:eastAsia="Times New Roman" w:hAnsi="Times New Roman" w:cs="Times New Roman"/>
          <w:sz w:val="24"/>
          <w:szCs w:val="24"/>
        </w:rPr>
        <w:t>kkında Kanun Hükmünde Kararname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nin 27 nci</w:t>
      </w:r>
      <w:r w:rsidR="0004684F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40 ıncı maddeleri</w:t>
      </w:r>
      <w:r w:rsidR="0070744F" w:rsidRPr="005938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744F" w:rsidRPr="005938C0">
        <w:rPr>
          <w:rFonts w:ascii="Times New Roman" w:eastAsia="ヒラギノ明朝Pro W3" w:hAnsi="Times New Roman" w:cs="Times New Roman"/>
          <w:sz w:val="24"/>
          <w:szCs w:val="24"/>
        </w:rPr>
        <w:t>14/5/1928 tarihli ve 1262 sayılı İspençiyari ve Tıbbi Müstahzarlar Kanununun Ek 7 nci maddesi</w:t>
      </w:r>
      <w:r w:rsidR="00A52C8E" w:rsidRPr="005938C0">
        <w:rPr>
          <w:rFonts w:ascii="Times New Roman" w:eastAsia="ヒラギノ明朝Pro W3" w:hAnsi="Times New Roman" w:cs="Times New Roman"/>
          <w:sz w:val="24"/>
          <w:szCs w:val="24"/>
        </w:rPr>
        <w:t>,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44F" w:rsidRPr="005938C0">
        <w:rPr>
          <w:rFonts w:ascii="Times New Roman" w:hAnsi="Times New Roman" w:cs="Times New Roman"/>
          <w:color w:val="000000" w:themeColor="text1"/>
          <w:sz w:val="24"/>
          <w:szCs w:val="24"/>
        </w:rPr>
        <w:t>Sağlık Uygulama Tebliğini</w:t>
      </w:r>
      <w:r w:rsidR="00A52C8E" w:rsidRPr="005938C0">
        <w:rPr>
          <w:rFonts w:ascii="Times New Roman" w:hAnsi="Times New Roman" w:cs="Times New Roman"/>
          <w:color w:val="000000" w:themeColor="text1"/>
          <w:sz w:val="24"/>
          <w:szCs w:val="24"/>
        </w:rPr>
        <w:t>n 4.1.4. ve 4.3 üncü maddeleri</w:t>
      </w:r>
      <w:r w:rsidR="0004684F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A52C8E" w:rsidRPr="0059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44F"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istinaden </w:t>
      </w: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hazırlanmıştır.</w:t>
      </w:r>
    </w:p>
    <w:p w:rsidR="000F245F" w:rsidRPr="005938C0" w:rsidRDefault="002B3D6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Tanımlar</w:t>
      </w:r>
    </w:p>
    <w:p w:rsidR="000F245F" w:rsidRPr="005938C0" w:rsidRDefault="002B3D6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MADDE 3 </w:t>
      </w: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3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Pr="00593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Bu Kılavuzda yer alan;</w:t>
      </w:r>
    </w:p>
    <w:p w:rsidR="000F245F" w:rsidRPr="005938C0" w:rsidRDefault="002B3D6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713CDD"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Bakanlık: Sağlık Bakanlığını,</w:t>
      </w:r>
    </w:p>
    <w:p w:rsidR="00713CDD" w:rsidRPr="005938C0" w:rsidRDefault="002B3D6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13CDD"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Endikasyon dışı ilaç kullanımı: </w:t>
      </w:r>
      <w:r w:rsidR="00C31948"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İlacın, ü</w:t>
      </w:r>
      <w:r w:rsidR="00713CDD" w:rsidRPr="005938C0">
        <w:rPr>
          <w:rFonts w:ascii="Times New Roman" w:eastAsia="Times New Roman" w:hAnsi="Times New Roman" w:cs="Times New Roman"/>
          <w:sz w:val="24"/>
          <w:szCs w:val="24"/>
        </w:rPr>
        <w:t>lke</w:t>
      </w:r>
      <w:r w:rsidR="00C31948" w:rsidRPr="005938C0">
        <w:rPr>
          <w:rFonts w:ascii="Times New Roman" w:eastAsia="Times New Roman" w:hAnsi="Times New Roman" w:cs="Times New Roman"/>
          <w:sz w:val="24"/>
          <w:szCs w:val="24"/>
        </w:rPr>
        <w:t>mizde onaylanmış endikasyonu</w:t>
      </w:r>
      <w:r w:rsidR="00713CDD" w:rsidRPr="005938C0">
        <w:rPr>
          <w:rFonts w:ascii="Times New Roman" w:eastAsia="Times New Roman" w:hAnsi="Times New Roman" w:cs="Times New Roman"/>
          <w:sz w:val="24"/>
          <w:szCs w:val="24"/>
        </w:rPr>
        <w:t xml:space="preserve"> dışında</w:t>
      </w:r>
      <w:r w:rsidR="00C31948" w:rsidRPr="005938C0">
        <w:rPr>
          <w:rFonts w:ascii="Times New Roman" w:eastAsia="Times New Roman" w:hAnsi="Times New Roman" w:cs="Times New Roman"/>
          <w:sz w:val="24"/>
          <w:szCs w:val="24"/>
        </w:rPr>
        <w:t>ki</w:t>
      </w:r>
      <w:r w:rsidR="00713CDD" w:rsidRPr="0059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948" w:rsidRPr="005938C0">
        <w:rPr>
          <w:rFonts w:ascii="Times New Roman" w:eastAsia="Times New Roman" w:hAnsi="Times New Roman" w:cs="Times New Roman"/>
          <w:sz w:val="24"/>
          <w:szCs w:val="24"/>
        </w:rPr>
        <w:t xml:space="preserve">her türlü </w:t>
      </w:r>
      <w:r w:rsidR="00713CDD" w:rsidRPr="005938C0">
        <w:rPr>
          <w:rFonts w:ascii="Times New Roman" w:eastAsia="Times New Roman" w:hAnsi="Times New Roman" w:cs="Times New Roman"/>
          <w:sz w:val="24"/>
          <w:szCs w:val="24"/>
        </w:rPr>
        <w:t>kullanımı</w:t>
      </w:r>
      <w:r w:rsidR="003D4EC4" w:rsidRPr="005938C0">
        <w:rPr>
          <w:rFonts w:ascii="Times New Roman" w:eastAsia="Times New Roman" w:hAnsi="Times New Roman" w:cs="Times New Roman"/>
          <w:sz w:val="24"/>
          <w:szCs w:val="24"/>
        </w:rPr>
        <w:t>nı</w:t>
      </w:r>
      <w:r w:rsidR="00713CDD" w:rsidRPr="005938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3CDD" w:rsidRPr="005938C0" w:rsidRDefault="002B3D6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713CDD" w:rsidRPr="005938C0">
        <w:rPr>
          <w:rFonts w:ascii="Times New Roman" w:eastAsia="Times New Roman" w:hAnsi="Times New Roman" w:cs="Times New Roman"/>
          <w:sz w:val="24"/>
          <w:szCs w:val="24"/>
        </w:rPr>
        <w:t xml:space="preserve"> Kurum: Türkiye İlaç ve Tıbbi Cihaz Kurumunu, </w:t>
      </w:r>
    </w:p>
    <w:p w:rsidR="004A4BA9" w:rsidRPr="005938C0" w:rsidRDefault="004A4BA9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ç) </w:t>
      </w: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naylı endikasyon: </w:t>
      </w:r>
      <w:r w:rsidR="00347C82" w:rsidRPr="005938C0">
        <w:rPr>
          <w:rFonts w:ascii="Times New Roman" w:eastAsia="Times New Roman" w:hAnsi="Times New Roman" w:cs="Times New Roman"/>
          <w:sz w:val="24"/>
          <w:szCs w:val="24"/>
        </w:rPr>
        <w:t>Ülkemizde ruhsatlı beşeri tıbbi ür</w:t>
      </w:r>
      <w:r w:rsidR="00C31948" w:rsidRPr="005938C0">
        <w:rPr>
          <w:rFonts w:ascii="Times New Roman" w:eastAsia="Times New Roman" w:hAnsi="Times New Roman" w:cs="Times New Roman"/>
          <w:sz w:val="24"/>
          <w:szCs w:val="24"/>
        </w:rPr>
        <w:t xml:space="preserve">ünün (ilacın) </w:t>
      </w:r>
      <w:r w:rsidR="00861496" w:rsidRPr="005938C0">
        <w:rPr>
          <w:rFonts w:ascii="Times New Roman" w:eastAsia="Times New Roman" w:hAnsi="Times New Roman" w:cs="Times New Roman"/>
          <w:sz w:val="24"/>
          <w:szCs w:val="24"/>
        </w:rPr>
        <w:t>“K</w:t>
      </w:r>
      <w:r w:rsidR="00C31948" w:rsidRPr="005938C0">
        <w:rPr>
          <w:rFonts w:ascii="Times New Roman" w:eastAsia="Times New Roman" w:hAnsi="Times New Roman" w:cs="Times New Roman"/>
          <w:sz w:val="24"/>
          <w:szCs w:val="24"/>
        </w:rPr>
        <w:t xml:space="preserve">ısa </w:t>
      </w:r>
      <w:r w:rsidR="00861496" w:rsidRPr="005938C0">
        <w:rPr>
          <w:rFonts w:ascii="Times New Roman" w:eastAsia="Times New Roman" w:hAnsi="Times New Roman" w:cs="Times New Roman"/>
          <w:sz w:val="24"/>
          <w:szCs w:val="24"/>
        </w:rPr>
        <w:t>Ü</w:t>
      </w:r>
      <w:r w:rsidR="00C31948" w:rsidRPr="005938C0">
        <w:rPr>
          <w:rFonts w:ascii="Times New Roman" w:eastAsia="Times New Roman" w:hAnsi="Times New Roman" w:cs="Times New Roman"/>
          <w:sz w:val="24"/>
          <w:szCs w:val="24"/>
        </w:rPr>
        <w:t xml:space="preserve">rün </w:t>
      </w:r>
      <w:r w:rsidR="00861496" w:rsidRPr="005938C0">
        <w:rPr>
          <w:rFonts w:ascii="Times New Roman" w:eastAsia="Times New Roman" w:hAnsi="Times New Roman" w:cs="Times New Roman"/>
          <w:sz w:val="24"/>
          <w:szCs w:val="24"/>
        </w:rPr>
        <w:t>B</w:t>
      </w:r>
      <w:r w:rsidR="00C31948" w:rsidRPr="005938C0">
        <w:rPr>
          <w:rFonts w:ascii="Times New Roman" w:eastAsia="Times New Roman" w:hAnsi="Times New Roman" w:cs="Times New Roman"/>
          <w:sz w:val="24"/>
          <w:szCs w:val="24"/>
        </w:rPr>
        <w:t>ilgisi</w:t>
      </w:r>
      <w:r w:rsidR="00861496" w:rsidRPr="005938C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31948" w:rsidRPr="005938C0">
        <w:rPr>
          <w:rFonts w:ascii="Times New Roman" w:eastAsia="Times New Roman" w:hAnsi="Times New Roman" w:cs="Times New Roman"/>
          <w:sz w:val="24"/>
          <w:szCs w:val="24"/>
        </w:rPr>
        <w:t>nde tanımlanmış olan bilgileri</w:t>
      </w:r>
      <w:r w:rsidR="00347C82" w:rsidRPr="005938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F245F" w:rsidRPr="005938C0" w:rsidRDefault="002B3D6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ifade eder.</w:t>
      </w:r>
    </w:p>
    <w:p w:rsidR="00D07D1A" w:rsidRPr="005938C0" w:rsidRDefault="00D07D1A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Genel esaslar</w:t>
      </w:r>
    </w:p>
    <w:p w:rsidR="004A4BA9" w:rsidRPr="005938C0" w:rsidRDefault="00D07D1A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MADDE 4 </w:t>
      </w: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(1) </w:t>
      </w:r>
      <w:r w:rsidR="004A4BA9"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Ülkemizde o</w:t>
      </w:r>
      <w:r w:rsidR="004A4BA9" w:rsidRPr="005938C0">
        <w:rPr>
          <w:rFonts w:ascii="Times New Roman" w:eastAsia="Times New Roman" w:hAnsi="Times New Roman" w:cs="Times New Roman"/>
          <w:sz w:val="24"/>
          <w:szCs w:val="24"/>
        </w:rPr>
        <w:t xml:space="preserve">naylı endikasyon dâhilinde ilaçla tedavisi mümkün olan hastalıklar için </w:t>
      </w:r>
      <w:r w:rsidR="00347C82" w:rsidRPr="005938C0">
        <w:rPr>
          <w:rFonts w:ascii="Times New Roman" w:eastAsia="Times New Roman" w:hAnsi="Times New Roman" w:cs="Times New Roman"/>
          <w:sz w:val="24"/>
          <w:szCs w:val="24"/>
        </w:rPr>
        <w:t xml:space="preserve">endikasyon </w:t>
      </w:r>
      <w:r w:rsidR="004A4BA9" w:rsidRPr="005938C0">
        <w:rPr>
          <w:rFonts w:ascii="Times New Roman" w:eastAsia="Times New Roman" w:hAnsi="Times New Roman" w:cs="Times New Roman"/>
          <w:sz w:val="24"/>
          <w:szCs w:val="24"/>
        </w:rPr>
        <w:t xml:space="preserve">dışı ilaç kullanımına izin verilmez. Ancak, bilimsel veriler doğrultusunda belirgin avantaj sağlayan tedavi seçenekleri olması durumunda, </w:t>
      </w:r>
      <w:r w:rsidR="00347C82" w:rsidRPr="005938C0">
        <w:rPr>
          <w:rFonts w:ascii="Times New Roman" w:eastAsia="Times New Roman" w:hAnsi="Times New Roman" w:cs="Times New Roman"/>
          <w:sz w:val="24"/>
          <w:szCs w:val="24"/>
        </w:rPr>
        <w:t xml:space="preserve">endikasyon </w:t>
      </w:r>
      <w:r w:rsidR="004A4BA9" w:rsidRPr="005938C0">
        <w:rPr>
          <w:rFonts w:ascii="Times New Roman" w:eastAsia="Times New Roman" w:hAnsi="Times New Roman" w:cs="Times New Roman"/>
          <w:sz w:val="24"/>
          <w:szCs w:val="24"/>
        </w:rPr>
        <w:t xml:space="preserve">dışı ilaç kullanım talebi Kurum tarafından değerlendirilir. </w:t>
      </w:r>
    </w:p>
    <w:p w:rsidR="005A5587" w:rsidRPr="005938C0" w:rsidRDefault="00B55B67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lastRenderedPageBreak/>
        <w:t>(2)</w:t>
      </w:r>
      <w:r w:rsidR="00A66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587" w:rsidRPr="005938C0">
        <w:rPr>
          <w:rFonts w:ascii="Times New Roman" w:eastAsia="Times New Roman" w:hAnsi="Times New Roman" w:cs="Times New Roman"/>
          <w:sz w:val="24"/>
          <w:szCs w:val="24"/>
        </w:rPr>
        <w:t xml:space="preserve">Başvurular, hastanın takip ve tedavisini üstlenen hekimin imza ve kaşesini taşır. Hasta, hasta yakını, eczacı veya başka şahıslarca başvuru formları düzenlenemez. </w:t>
      </w:r>
    </w:p>
    <w:p w:rsidR="00FF4EBE" w:rsidRPr="005938C0" w:rsidRDefault="00CE569E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(3) Kurum tarafından, </w:t>
      </w:r>
      <w:r w:rsidR="00C31948" w:rsidRPr="005938C0">
        <w:rPr>
          <w:rFonts w:ascii="Times New Roman" w:eastAsia="Times New Roman" w:hAnsi="Times New Roman" w:cs="Times New Roman"/>
          <w:sz w:val="24"/>
          <w:szCs w:val="24"/>
        </w:rPr>
        <w:t xml:space="preserve">öncelikle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başvuruda kullanımı talep olunan ilacın ilgili endikasyonda kullanımının bilimsel yönden uygun olup olmadığı  değerlendirilir ve uygunluk onayından sonra ilaç kullanılabilir. </w:t>
      </w:r>
    </w:p>
    <w:p w:rsidR="00CE569E" w:rsidRPr="005938C0" w:rsidRDefault="00FF4EBE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CE569E" w:rsidRPr="005938C0">
        <w:rPr>
          <w:rFonts w:ascii="Times New Roman" w:eastAsia="Times New Roman" w:hAnsi="Times New Roman" w:cs="Times New Roman"/>
          <w:sz w:val="24"/>
          <w:szCs w:val="24"/>
        </w:rPr>
        <w:t>Kurum izni alınmadan endikasyon dışı ilaç kullanımına başlanılmış ise geriye dönük bu gibi durumlar için yapılacak başvurular değerlendirilmeye alınmayacaktır.</w:t>
      </w:r>
    </w:p>
    <w:p w:rsidR="00D07D1A" w:rsidRPr="005938C0" w:rsidRDefault="005A5587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(5) </w:t>
      </w:r>
      <w:r w:rsidR="00C5369D" w:rsidRPr="005938C0">
        <w:rPr>
          <w:rFonts w:ascii="Times New Roman" w:eastAsia="Times New Roman" w:hAnsi="Times New Roman" w:cs="Times New Roman"/>
          <w:sz w:val="24"/>
          <w:szCs w:val="24"/>
        </w:rPr>
        <w:t>Ku</w:t>
      </w:r>
      <w:r w:rsidR="00D07D1A"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ruma yapılacak başvuru</w:t>
      </w:r>
      <w:r w:rsidR="00D07D1A" w:rsidRPr="005938C0">
        <w:rPr>
          <w:rFonts w:ascii="Times New Roman" w:eastAsia="Times New Roman" w:hAnsi="Times New Roman" w:cs="Times New Roman"/>
          <w:sz w:val="24"/>
          <w:szCs w:val="24"/>
        </w:rPr>
        <w:t xml:space="preserve"> için gerekli belgeler:</w:t>
      </w:r>
    </w:p>
    <w:p w:rsidR="002B4721" w:rsidRPr="005938C0" w:rsidRDefault="002B472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a) </w:t>
      </w:r>
      <w:hyperlink r:id="rId6" w:history="1">
        <w:r w:rsidRPr="005938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“</w:t>
        </w:r>
        <w:r w:rsidRPr="005938C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Endikasyon Dışı İlaç Kullanımı Talep Formu</w:t>
        </w:r>
        <w:r w:rsidRPr="005938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”</w:t>
        </w:r>
      </w:hyperlink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Ek-1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4721" w:rsidRPr="005938C0" w:rsidRDefault="002B472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b) Sağlık Kurulu Raporu veya İlaç Kullanım Raporu örneği,</w:t>
      </w:r>
    </w:p>
    <w:p w:rsidR="002B4721" w:rsidRPr="005938C0" w:rsidRDefault="002B472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c) Hasta tarafından okunarak imzalanmış genel “</w:t>
      </w:r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Bilgilendirilmiş Hasta Olur Formu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hyperlink r:id="rId7" w:history="1">
        <w:r w:rsidRPr="005938C0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Ek-2</w:t>
        </w:r>
        <w:r w:rsidRPr="005938C0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:rsidR="002B4721" w:rsidRPr="005938C0" w:rsidRDefault="002B472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ç) Bazı ilaçlar için özel hazırlanmış “Bilgilendirilmiş Hasta Olur Formu” ve özel belgeler, (Ek-2</w:t>
      </w:r>
      <w:r w:rsidR="00D66251" w:rsidRPr="005938C0">
        <w:rPr>
          <w:rFonts w:ascii="Times New Roman" w:eastAsia="Times New Roman" w:hAnsi="Times New Roman" w:cs="Times New Roman"/>
          <w:sz w:val="24"/>
          <w:szCs w:val="24"/>
        </w:rPr>
        <w:t>, Ek-2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a-</w:t>
      </w:r>
      <w:r w:rsidR="00D66251" w:rsidRPr="005938C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4721" w:rsidRPr="005938C0" w:rsidRDefault="002B4721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d) İlgili ilacın ilgili endikasyonda kullanımında etkililiği ve güvenilirliği ile ilgili kanıt düzeyi yüksek olan bilimsel literatür/literatürler, </w:t>
      </w:r>
    </w:p>
    <w:p w:rsidR="00D53BDD" w:rsidRPr="005938C0" w:rsidRDefault="00D53BDD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e) Hastanın aldığı tedavileri, bu tedavilerle elde edilen yanıtları ve tanıyla ilgili güncel laboratuvar değerlerini içeren epikriz,</w:t>
      </w:r>
    </w:p>
    <w:p w:rsidR="00A66159" w:rsidRDefault="00D53BDD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59">
        <w:rPr>
          <w:rFonts w:ascii="Times New Roman" w:eastAsia="Times New Roman" w:hAnsi="Times New Roman" w:cs="Times New Roman"/>
          <w:sz w:val="24"/>
          <w:szCs w:val="24"/>
        </w:rPr>
        <w:t>(6</w:t>
      </w:r>
      <w:r w:rsidR="00D07D1A" w:rsidRPr="00A661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6159" w:rsidRPr="00A66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D1A" w:rsidRPr="005938C0">
        <w:rPr>
          <w:rFonts w:ascii="Times New Roman" w:eastAsia="Times New Roman" w:hAnsi="Times New Roman" w:cs="Times New Roman"/>
          <w:sz w:val="24"/>
          <w:szCs w:val="24"/>
        </w:rPr>
        <w:t xml:space="preserve">Bu madde kapsamında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yazılı olarak iletilecek başvurular “</w:t>
      </w:r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Sağlık Bakanlığı Türkiye İlaç ve Tıbbi Cihaz Kurumu, Söğütözü Mahallesi 2176. Sokak No:5 P.K. 06520 Çankaya/ANKARA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” adresine yapılır. </w:t>
      </w:r>
    </w:p>
    <w:p w:rsidR="00D07D1A" w:rsidRPr="005938C0" w:rsidRDefault="00D07D1A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3BDD" w:rsidRPr="005938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) Uygulanan tedavi sonrası etkililik ve yan etki bakımından olumlu cevap alınan hastalarda tedaviye devam etmek istenir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lastRenderedPageBreak/>
        <w:t>ise iznin son bir ayı içinde başvuru yapılabilir. Başvuruda hekim tarafından yeniden “</w:t>
      </w:r>
      <w:r w:rsidR="00D53BDD"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Endikasyon </w:t>
      </w:r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Dışı İlaç Kullanım Talep Formu” </w:t>
      </w:r>
      <w:hyperlink r:id="rId8" w:history="1">
        <w:r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(Ek-</w:t>
        </w:r>
        <w:r w:rsidR="00D53BDD"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  <w:r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)</w:t>
        </w:r>
      </w:hyperlink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sz w:val="24"/>
          <w:szCs w:val="24"/>
          <w:u w:val="single"/>
        </w:rPr>
        <w:t>doldurulmayacak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“Bilgilendirilmiş Hasta Olur Formu </w:t>
      </w:r>
      <w:hyperlink r:id="rId9" w:history="1">
        <w:r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(Ek-</w:t>
        </w:r>
        <w:r w:rsidR="00D53BDD"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</w:t>
        </w:r>
        <w:r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)</w:t>
        </w:r>
      </w:hyperlink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” ve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“Etkililik ve Yan Etki Geri Bildirim Formu </w:t>
      </w:r>
      <w:hyperlink r:id="rId10" w:history="1">
        <w:r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(Ek-</w:t>
        </w:r>
        <w:r w:rsidR="00D53BDD"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3</w:t>
        </w:r>
        <w:r w:rsidRPr="005938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)</w:t>
        </w:r>
      </w:hyperlink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” 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doldurulması yeterli olacaktır.</w:t>
      </w:r>
    </w:p>
    <w:p w:rsidR="00D07D1A" w:rsidRPr="005938C0" w:rsidRDefault="00D07D1A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3BDD" w:rsidRPr="005938C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) Kurum, talep edilen ilacın özelliğine göre ek form veya belge isteyebilir; gerektiğinde hastalıkla ilgili olarak yapılmış özel laboratuvar tetkiklerinin sonuçlarını da talep edebilir. (Kemik iliği biyopsisi, histopatoloji değerlendirme sonuçları ve benzeri)</w:t>
      </w:r>
    </w:p>
    <w:p w:rsidR="00D07D1A" w:rsidRPr="005938C0" w:rsidRDefault="00D07D1A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5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3BDD" w:rsidRPr="00A661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661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6159" w:rsidRPr="00A66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Hastalığın ilerlemesi, hastanın hayatını kaybetmesi, ilaç alerjisi</w:t>
      </w:r>
      <w:r w:rsidR="008A5F57" w:rsidRPr="005938C0">
        <w:rPr>
          <w:rFonts w:ascii="Times New Roman" w:eastAsia="Times New Roman" w:hAnsi="Times New Roman" w:cs="Times New Roman"/>
          <w:sz w:val="24"/>
          <w:szCs w:val="24"/>
        </w:rPr>
        <w:t xml:space="preserve"> ve ciddi advers etkiler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gibi olumsuz bir durum gelişmesine bağlı olarak tedavinin </w:t>
      </w:r>
      <w:r w:rsidR="008A5F57" w:rsidRPr="005938C0">
        <w:rPr>
          <w:rFonts w:ascii="Times New Roman" w:eastAsia="Times New Roman" w:hAnsi="Times New Roman" w:cs="Times New Roman"/>
          <w:sz w:val="24"/>
          <w:szCs w:val="24"/>
        </w:rPr>
        <w:t>sonlandırılmasını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F57" w:rsidRPr="005938C0">
        <w:rPr>
          <w:rFonts w:ascii="Times New Roman" w:eastAsia="Times New Roman" w:hAnsi="Times New Roman" w:cs="Times New Roman"/>
          <w:sz w:val="24"/>
          <w:szCs w:val="24"/>
        </w:rPr>
        <w:t xml:space="preserve">gerektiren hallerde en geç 5 (beş) işgünü içinde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Kuruma </w:t>
      </w:r>
      <w:r w:rsidR="008A5F57" w:rsidRPr="005938C0">
        <w:rPr>
          <w:rFonts w:ascii="Times New Roman" w:eastAsia="Times New Roman" w:hAnsi="Times New Roman" w:cs="Times New Roman"/>
          <w:sz w:val="24"/>
          <w:szCs w:val="24"/>
        </w:rPr>
        <w:t xml:space="preserve">tedaviyi üstlenen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hekim tarafından </w:t>
      </w:r>
      <w:r w:rsidR="008A5F57" w:rsidRPr="005938C0">
        <w:rPr>
          <w:rFonts w:ascii="Times New Roman" w:eastAsia="Times New Roman" w:hAnsi="Times New Roman" w:cs="Times New Roman"/>
          <w:sz w:val="24"/>
          <w:szCs w:val="24"/>
        </w:rPr>
        <w:t xml:space="preserve">gerekçesiyle birlikte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yazılı bilgi verilmesi </w:t>
      </w:r>
      <w:r w:rsidR="00C55EF6" w:rsidRPr="005938C0">
        <w:rPr>
          <w:rFonts w:ascii="Times New Roman" w:eastAsia="Times New Roman" w:hAnsi="Times New Roman" w:cs="Times New Roman"/>
          <w:sz w:val="24"/>
          <w:szCs w:val="24"/>
        </w:rPr>
        <w:t>zorunludur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D1A" w:rsidRPr="005938C0" w:rsidRDefault="00D07D1A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8A5F57" w:rsidRPr="005938C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) Uygun bulunmayan başvurular için hastanın doktoru tarafından bilimsel olarak geçerliliği bulunan itirazlar olması durumunda başvuru yeniden değerlendirilebilir.</w:t>
      </w:r>
    </w:p>
    <w:p w:rsidR="00D07D1A" w:rsidRPr="005938C0" w:rsidRDefault="00D07D1A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8A5F57" w:rsidRPr="005938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="00D53BDD" w:rsidRPr="005938C0">
        <w:rPr>
          <w:rFonts w:ascii="Times New Roman" w:eastAsia="Times New Roman" w:hAnsi="Times New Roman" w:cs="Times New Roman"/>
          <w:sz w:val="24"/>
          <w:szCs w:val="24"/>
        </w:rPr>
        <w:t>Endikasyon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dışı ilaç kullanım izni şahsî (hasta bazında) olup, hastanın içinde bulunduğu özel klinik durum için verilir. Herhangi bir hasta için verilen izin; benzer teşhis konulmuş fakat farklı klinik seyre sahip diğer hastalara emsal teşkil etmeyeceği gibi, </w:t>
      </w:r>
      <w:r w:rsidR="0004684F">
        <w:rPr>
          <w:rFonts w:ascii="Times New Roman" w:eastAsia="Times New Roman" w:hAnsi="Times New Roman" w:cs="Times New Roman"/>
          <w:sz w:val="24"/>
          <w:szCs w:val="24"/>
        </w:rPr>
        <w:t>Kurumun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ilaçla ilgili genel bir sağlık stratejisini de yansıtmaz.</w:t>
      </w:r>
    </w:p>
    <w:p w:rsidR="00D07D1A" w:rsidRPr="005938C0" w:rsidRDefault="00D07D1A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8A5F57" w:rsidRPr="005938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)  Kurum, hastanın ilerleyen veya değişen klinik durumundan dolayı söz konusu izni iptal edebilir, doz ve uygulama süresinde değişiklik yapabilir.</w:t>
      </w:r>
    </w:p>
    <w:p w:rsidR="00B55B67" w:rsidRPr="005938C0" w:rsidRDefault="00B55B67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Cs/>
          <w:sz w:val="24"/>
          <w:szCs w:val="24"/>
        </w:rPr>
        <w:t>(1</w:t>
      </w:r>
      <w:r w:rsidR="008A5F57" w:rsidRPr="005938C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38C0">
        <w:rPr>
          <w:rFonts w:ascii="Times New Roman" w:eastAsia="Times New Roman" w:hAnsi="Times New Roman" w:cs="Times New Roman"/>
          <w:bCs/>
          <w:sz w:val="24"/>
          <w:szCs w:val="24"/>
        </w:rPr>
        <w:t>) Kurum resmî internet sitesinde yayımlanan</w:t>
      </w:r>
      <w:r w:rsidR="00C55EF6" w:rsidRPr="005938C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38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2A88"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“Türkiye İlaç ve Tıbbi Cihaz Kurumu Ek Onayı Alınmadan Kullanıla</w:t>
      </w:r>
      <w:r w:rsidR="00862A88"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bilecek Endikasyon Dışı İlaç Listesi”nde (Ek-</w:t>
      </w:r>
      <w:r w:rsidR="00C55EF6"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62A88"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862A88" w:rsidRPr="005938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bCs/>
          <w:sz w:val="24"/>
          <w:szCs w:val="24"/>
        </w:rPr>
        <w:t xml:space="preserve">yer alan ilaçların kullanımı </w:t>
      </w:r>
      <w:r w:rsidR="00C55EF6" w:rsidRPr="005938C0">
        <w:rPr>
          <w:rFonts w:ascii="Times New Roman" w:eastAsia="Times New Roman" w:hAnsi="Times New Roman" w:cs="Times New Roman"/>
          <w:bCs/>
          <w:sz w:val="24"/>
          <w:szCs w:val="24"/>
        </w:rPr>
        <w:t>için</w:t>
      </w:r>
      <w:r w:rsidRPr="005938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5EF6" w:rsidRPr="005938C0">
        <w:rPr>
          <w:rFonts w:ascii="Times New Roman" w:eastAsia="Times New Roman" w:hAnsi="Times New Roman" w:cs="Times New Roman"/>
          <w:bCs/>
          <w:sz w:val="24"/>
          <w:szCs w:val="24"/>
        </w:rPr>
        <w:t xml:space="preserve">Kurum tarafından başka bir </w:t>
      </w:r>
      <w:r w:rsidRPr="005938C0">
        <w:rPr>
          <w:rFonts w:ascii="Times New Roman" w:eastAsia="Times New Roman" w:hAnsi="Times New Roman" w:cs="Times New Roman"/>
          <w:bCs/>
          <w:sz w:val="24"/>
          <w:szCs w:val="24"/>
        </w:rPr>
        <w:t xml:space="preserve">onay </w:t>
      </w:r>
      <w:r w:rsidR="00C55EF6" w:rsidRPr="005938C0">
        <w:rPr>
          <w:rFonts w:ascii="Times New Roman" w:eastAsia="Times New Roman" w:hAnsi="Times New Roman" w:cs="Times New Roman"/>
          <w:bCs/>
          <w:sz w:val="24"/>
          <w:szCs w:val="24"/>
        </w:rPr>
        <w:t>yazısı düzenlenmeyecektir.</w:t>
      </w:r>
    </w:p>
    <w:p w:rsidR="003D4EC4" w:rsidRPr="005938C0" w:rsidRDefault="003D4EC4" w:rsidP="000E5B8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Yasaklar</w:t>
      </w:r>
    </w:p>
    <w:p w:rsidR="003D4EC4" w:rsidRPr="005938C0" w:rsidRDefault="003D4EC4" w:rsidP="000E5B80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9774F0" w:rsidRPr="005938C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(1)  Kurum tarafından verilmiş izinler doğrultusunda yapılan tedaviler ve bunlardan elde edilecek sonuçlar, Bakanlık dışında herhangi bir kurum/kuruluş ve/veya üçüncü kişiler ile paylaşılamaz, amacı dışında kullanılamaz. Bu kapsamda elde edilen veriler ile Kurum tarafından bilimsel yayın yapılabilir. Bunun haricinde herhangi bir kurum/kuruluş ve/veya üçüncü kişiler</w:t>
      </w:r>
      <w:r w:rsidR="00861496" w:rsidRPr="005938C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bilimsel yayın amacıyla (vaka takdimi hariç) kullanılabilmesi için Kurum izni alınması zorunludur. Yine bu kapsamda elde edilen veriler ilaç ruhsatlandırma çalışmalarına esas veri olarak kullanılamaz. </w:t>
      </w:r>
      <w:r w:rsidRPr="005938C0">
        <w:rPr>
          <w:rFonts w:ascii="Times New Roman" w:hAnsi="Times New Roman" w:cs="Times New Roman"/>
          <w:sz w:val="24"/>
          <w:szCs w:val="24"/>
        </w:rPr>
        <w:t>Gizlilik ilkelerine riayet etmeyenler hakkında ilgili mevzuat hükümleri doğrultusunda işlem yapılır.</w:t>
      </w:r>
    </w:p>
    <w:p w:rsidR="000F245F" w:rsidRPr="005938C0" w:rsidRDefault="00141D28" w:rsidP="000E5B80">
      <w:pPr>
        <w:spacing w:before="20" w:after="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B67EE" w:rsidRPr="005938C0">
        <w:rPr>
          <w:rFonts w:ascii="Times New Roman" w:eastAsia="Times New Roman" w:hAnsi="Times New Roman" w:cs="Times New Roman"/>
          <w:sz w:val="24"/>
          <w:szCs w:val="24"/>
        </w:rPr>
        <w:tab/>
      </w:r>
      <w:r w:rsidR="002B3D61" w:rsidRPr="005938C0">
        <w:rPr>
          <w:rFonts w:ascii="Times New Roman" w:eastAsia="Times New Roman" w:hAnsi="Times New Roman" w:cs="Times New Roman"/>
          <w:b/>
          <w:sz w:val="24"/>
          <w:szCs w:val="24"/>
        </w:rPr>
        <w:t>Yürürlük</w:t>
      </w:r>
    </w:p>
    <w:p w:rsidR="000F245F" w:rsidRPr="005938C0" w:rsidRDefault="002B3D61" w:rsidP="000E5B80">
      <w:pPr>
        <w:spacing w:before="20" w:after="2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9774F0" w:rsidRPr="005938C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5938C0">
        <w:rPr>
          <w:rFonts w:ascii="Times New Roman" w:eastAsia="Times New Roman" w:hAnsi="Times New Roman" w:cs="Times New Roman"/>
          <w:color w:val="000000"/>
          <w:sz w:val="24"/>
          <w:szCs w:val="24"/>
        </w:rPr>
        <w:t>Bu Kılavuz onaylandığı tarihte yürürlüğe girer.</w:t>
      </w:r>
    </w:p>
    <w:p w:rsidR="000F245F" w:rsidRPr="005938C0" w:rsidRDefault="002B3D61" w:rsidP="000E5B80">
      <w:pPr>
        <w:spacing w:before="20" w:after="2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>Yürütme</w:t>
      </w:r>
    </w:p>
    <w:p w:rsidR="000F245F" w:rsidRPr="0070744F" w:rsidRDefault="002B3D61" w:rsidP="0018772A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9774F0" w:rsidRPr="005938C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(1) Bu Kılavuz hükümlerini Türkiye İlaç ve Tıbbi Cihaz Kurumu Başkanı yürütür.</w:t>
      </w:r>
    </w:p>
    <w:sectPr w:rsidR="000F245F" w:rsidRPr="0070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Pro W3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2D9"/>
    <w:multiLevelType w:val="multilevel"/>
    <w:tmpl w:val="2E9A3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D6E33"/>
    <w:multiLevelType w:val="multilevel"/>
    <w:tmpl w:val="C15EA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2324E"/>
    <w:multiLevelType w:val="multilevel"/>
    <w:tmpl w:val="4EE4E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7547B"/>
    <w:multiLevelType w:val="multilevel"/>
    <w:tmpl w:val="7A601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77C28"/>
    <w:multiLevelType w:val="multilevel"/>
    <w:tmpl w:val="D6E21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A7E96"/>
    <w:multiLevelType w:val="multilevel"/>
    <w:tmpl w:val="1410F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86E97"/>
    <w:multiLevelType w:val="multilevel"/>
    <w:tmpl w:val="D4729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C6EB2"/>
    <w:multiLevelType w:val="multilevel"/>
    <w:tmpl w:val="CF663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082400"/>
    <w:multiLevelType w:val="multilevel"/>
    <w:tmpl w:val="9378D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CA4787"/>
    <w:multiLevelType w:val="multilevel"/>
    <w:tmpl w:val="7E3C2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F"/>
    <w:rsid w:val="0004684F"/>
    <w:rsid w:val="000E5B80"/>
    <w:rsid w:val="000F245F"/>
    <w:rsid w:val="00141D28"/>
    <w:rsid w:val="00170104"/>
    <w:rsid w:val="0018772A"/>
    <w:rsid w:val="001D7816"/>
    <w:rsid w:val="00206DDC"/>
    <w:rsid w:val="00287326"/>
    <w:rsid w:val="002B3D61"/>
    <w:rsid w:val="002B4721"/>
    <w:rsid w:val="002D6F25"/>
    <w:rsid w:val="00347C82"/>
    <w:rsid w:val="00371F38"/>
    <w:rsid w:val="003D4EC4"/>
    <w:rsid w:val="004A4BA9"/>
    <w:rsid w:val="00501A70"/>
    <w:rsid w:val="00537A22"/>
    <w:rsid w:val="00550CFD"/>
    <w:rsid w:val="005938C0"/>
    <w:rsid w:val="005A3354"/>
    <w:rsid w:val="005A5587"/>
    <w:rsid w:val="006754BD"/>
    <w:rsid w:val="0070744F"/>
    <w:rsid w:val="00713CDD"/>
    <w:rsid w:val="00777009"/>
    <w:rsid w:val="00861496"/>
    <w:rsid w:val="00862A88"/>
    <w:rsid w:val="008A5F57"/>
    <w:rsid w:val="00964CE2"/>
    <w:rsid w:val="009667D7"/>
    <w:rsid w:val="009774F0"/>
    <w:rsid w:val="00A220CD"/>
    <w:rsid w:val="00A52C8E"/>
    <w:rsid w:val="00A66159"/>
    <w:rsid w:val="00B15437"/>
    <w:rsid w:val="00B55B67"/>
    <w:rsid w:val="00BB67EE"/>
    <w:rsid w:val="00BC1C83"/>
    <w:rsid w:val="00C31948"/>
    <w:rsid w:val="00C5369D"/>
    <w:rsid w:val="00C55EF6"/>
    <w:rsid w:val="00CE569E"/>
    <w:rsid w:val="00D07D1A"/>
    <w:rsid w:val="00D237C2"/>
    <w:rsid w:val="00D53BDD"/>
    <w:rsid w:val="00D66251"/>
    <w:rsid w:val="00D8362D"/>
    <w:rsid w:val="00DE34F3"/>
    <w:rsid w:val="00E01A7F"/>
    <w:rsid w:val="00E46F49"/>
    <w:rsid w:val="00EF75B9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C921-E499-4908-8B0D-4D8B70D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1D2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41D28"/>
    <w:rPr>
      <w:color w:val="0000FF"/>
      <w:u w:val="single"/>
    </w:rPr>
  </w:style>
  <w:style w:type="paragraph" w:customStyle="1" w:styleId="nor3">
    <w:name w:val="nor3"/>
    <w:basedOn w:val="Normal"/>
    <w:rsid w:val="00BC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3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saglik.gov.tr/PortalAdmin/Uploads/UnitPages/Ek_1_aedc525%20(2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tck.saglik.gov.tr/PortalAdmin/Uploads/UnitPages/Ek_2_4134e5f%20(1)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tck.saglik.gov.tr/PortalAdmin/Uploads/UnitPages/Ek_1_aedc525%20(2)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itck.saglik.gov.tr/PortalAdmin/Uploads/UnitPages/Ek_3_3d5589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tck.saglik.gov.tr/PortalAdmin/Uploads/UnitPages/Ek_2_4134e5f%20(1)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E10C-FA0F-492E-A11C-BD09B89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Mukaddes YALÇIN</dc:creator>
  <cp:lastModifiedBy>Ayşe  UÇAN</cp:lastModifiedBy>
  <cp:revision>2</cp:revision>
  <dcterms:created xsi:type="dcterms:W3CDTF">2016-05-06T14:13:00Z</dcterms:created>
  <dcterms:modified xsi:type="dcterms:W3CDTF">2016-05-06T14:13:00Z</dcterms:modified>
</cp:coreProperties>
</file>