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B4" w:rsidRPr="00E55DD6" w:rsidRDefault="00FC16B4" w:rsidP="00E55D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DD6">
        <w:rPr>
          <w:rFonts w:ascii="Times New Roman" w:hAnsi="Times New Roman" w:cs="Times New Roman"/>
          <w:sz w:val="24"/>
          <w:szCs w:val="24"/>
          <w:u w:val="single"/>
        </w:rPr>
        <w:t>Türkiye İlaç ve Tıbbî Cihaz Kurumundan:</w:t>
      </w:r>
    </w:p>
    <w:p w:rsidR="00C10961" w:rsidRPr="00D74424" w:rsidRDefault="00FC16B4" w:rsidP="00D7442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55DD6">
        <w:rPr>
          <w:rFonts w:ascii="Times New Roman" w:eastAsia="Calibri" w:hAnsi="Times New Roman" w:cs="Times New Roman"/>
          <w:b/>
          <w:sz w:val="24"/>
          <w:szCs w:val="24"/>
        </w:rPr>
        <w:t>BELİRLİ SINIF D İN VİTRO TANI AMAÇLI TIBBİ CİHAZLARA YÖNELİK ORTAK SPESİFİKASYONLARIN BELİRLENMESİ HAKKINDA TEBLİĞ</w:t>
      </w:r>
    </w:p>
    <w:p w:rsidR="006175A4" w:rsidRPr="00E55DD6" w:rsidRDefault="006175A4" w:rsidP="00576C3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5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BİRİNCİ BÖLÜM</w:t>
      </w:r>
    </w:p>
    <w:p w:rsidR="006175A4" w:rsidRPr="00E55DD6" w:rsidRDefault="006175A4" w:rsidP="00576C3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5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Başlangıç Hükümleri</w:t>
      </w:r>
    </w:p>
    <w:p w:rsidR="006175A4" w:rsidRPr="00E55DD6" w:rsidRDefault="006175A4" w:rsidP="00576C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55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 ve kapsam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="006175A4" w:rsidRPr="00E55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</w:t>
      </w:r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(1) Bu Tebliğin amacı; 2/6/2021 tarihli ve 31499 sayılı İn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Vitro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Tanı Amaçlı Tıbbi Cihaz Yönetmeliğinin Ek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I’inin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9.1 numaralı maddesinin (a) ve (b) bentlerinde, 9.3 numaralı maddesinde ve 9.4 numaralı maddesinin (a) bendinde belirtilen performans karakteristiklerine ilişkin gereklilikler bakımından belirli sınıf D in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vitro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tanı amaçlı tıbbi cihazlar (in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vitro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tanı cihazı) için ortak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spesifikasyonları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belirlemektir.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End"/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Ek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I’de</w:t>
      </w:r>
      <w:proofErr w:type="spellEnd"/>
      <w:r w:rsidR="006175A4" w:rsidRPr="00E55DD6">
        <w:rPr>
          <w:rFonts w:ascii="Times New Roman" w:hAnsi="Times New Roman" w:cs="Times New Roman"/>
          <w:sz w:val="24"/>
          <w:szCs w:val="24"/>
        </w:rPr>
        <w:t xml:space="preserve"> </w:t>
      </w:r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ortak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spesifikasyonlar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bu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Ek'te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belirtildiği üzere Ek II ila XIII kapsamındaki cihazlara uygulanır.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 Ek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II’de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ortak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spesifikasyonlar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ABO,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Rh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Kell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Duffy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Kidd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kan grubu sistemlerinde kan grubu antijenlerinin saptanmasına yönelik tasarlanan cihazlara uygulanır.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(4) Ek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III’te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ortak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spesifikasyonlar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insan bağışıklık yetmezliği virüsü (HIV) </w:t>
      </w:r>
      <w:proofErr w:type="gram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enfeksiyonu</w:t>
      </w:r>
      <w:proofErr w:type="gram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belirteçlerinin (marker) saptanması veya miktar tayinine yönelik tasarlanan cihazlara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uygulanır. 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(5) Ek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IV’te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ortak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spesifikasyonlar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insan T-hücre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lenfotropik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virüsü (HTLV) </w:t>
      </w:r>
      <w:proofErr w:type="gram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enfeksiyonu</w:t>
      </w:r>
      <w:proofErr w:type="gram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belirteçlerinin saptanması veya miktar tayinine yönelik tasarlanan cihazlara uygulanır.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(6) Ek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V’te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ortak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spesifikasyonlar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hepatit C virüsü (HCV) </w:t>
      </w:r>
      <w:proofErr w:type="gram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enfeksiyonu</w:t>
      </w:r>
      <w:proofErr w:type="gram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belirteçlerinin saptanması veya miktar tayinine yönelik tasarlanan cihazlara uygulanır.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(7) Ek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VI’da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ortak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spesifikasyonlar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hepatit B virüsü (HBV) </w:t>
      </w:r>
      <w:proofErr w:type="gram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enfeksiyonu</w:t>
      </w:r>
      <w:proofErr w:type="gram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belirteçlerinin saptanması veya miktar tayinine yönelik tasarlanan cihazlar uygulanır.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(8) Ek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VII’de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ortak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spesifikasyonlar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hepatit D virüsü (HDV) </w:t>
      </w:r>
      <w:proofErr w:type="gram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enfeksiyonu</w:t>
      </w:r>
      <w:proofErr w:type="gram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belirteçlerinin saptanması veya miktar tayinine yönelik tasarlanan cihazlara uygulanır.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(9) Ek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VIII’de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ortak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spesifikasyonlar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varyant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Creutzfeldt-Jakob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hastalığı (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vCJD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) belirteçlerinin saptanmasına yönelik tasarlanan cihazlara uygulanır.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(10) Ek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IX’da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ortak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spesifikasyonlar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sitomegalovirüs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(CMV) </w:t>
      </w:r>
      <w:proofErr w:type="gram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enfeksiyonu</w:t>
      </w:r>
      <w:proofErr w:type="gram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belirteçlerinin saptanması veya miktar tayinine yönelik tasarlanan cihazlara uygulanır.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(11) Ek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X’da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ortak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spesifikasyonlar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Epstein-Barr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virüsü </w:t>
      </w:r>
      <w:proofErr w:type="gram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enfeksiyonu</w:t>
      </w:r>
      <w:proofErr w:type="gram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(EBV) belirteçlerinin saptanması veya miktar tayinine yönelik tasarlanan cihazlara uygulanır.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(12) Ek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XI’da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ortak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spesifikasyonlar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6175A4" w:rsidRPr="00E55D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Treponema</w:t>
      </w:r>
      <w:proofErr w:type="spellEnd"/>
      <w:r w:rsidR="006175A4" w:rsidRPr="00E55D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="006175A4" w:rsidRPr="00E55D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pallidum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enfeksiyonu</w:t>
      </w:r>
      <w:proofErr w:type="gram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belirteçlerinin saptanmasına yönelik tasarlanan cihazlara uygulanır.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(13) Ek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XII’de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ortak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spesifikasyonlar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6175A4" w:rsidRPr="00E55D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Trypanosoma</w:t>
      </w:r>
      <w:proofErr w:type="spellEnd"/>
      <w:r w:rsidR="006175A4" w:rsidRPr="00E55D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="006175A4" w:rsidRPr="00E55D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cruzi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enfeksiyonu</w:t>
      </w:r>
      <w:proofErr w:type="gram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belirteçlerinin saptanması veya miktar tayinine yönelik tasarlanan cihazlara uygulanır.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(14) Ek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XIII’te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ortak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spesifikasyonlar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şiddetli akut solunum </w:t>
      </w:r>
      <w:proofErr w:type="gram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sendromu</w:t>
      </w:r>
      <w:proofErr w:type="gram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koronavirüs</w:t>
      </w:r>
      <w:proofErr w:type="spellEnd"/>
      <w:r w:rsidR="006175A4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 (SARS-CoV-2) enfeksiyonu belirteçlerinin saptanması veya miktar tayinine yönelik tasarlanan cihazlara uygulanır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55DD6" w:rsidRPr="00E55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Dayanak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="00E55DD6" w:rsidRPr="00E55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2-</w:t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Tebliğ; 5/3/2020 tarihli ve 7223 sayılı Ürün Güvenliği ve Teknik Düzenlemeler Kanununa, 4 sayılı Bakanlıklara Bağlı, İlgili, İlişkili Kurum ve Kuruluşlar ile Diğer Kurum ve Kuruluşların Teşkilatı Hakkında Cumhurbaşkanlığı Kararnamesinin 508 inci ve 796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maddelerine ve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vitro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Tanı Amaçlı Tıbbi Cihaz Yönetmeliğine dayanılarak hazırlanmıştır.</w:t>
      </w:r>
      <w:proofErr w:type="gramEnd"/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</w:r>
      <w:r w:rsidR="00E55DD6" w:rsidRPr="00E55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Tanımlar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E55DD6" w:rsidRPr="00E55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3-</w:t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Tebliğde geçen;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% 95 pozitif eşik değeri: Mevcutsa Dünya Sağlık Teşkilatı (WHO) Uluslararası Standardı veya WHO Uluslararası Standardına göre kalibre edilmiş referans materyali gibi bir uluslararası referans materyalinin seri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dilüsyonlarının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test çalışmalarında %95 pozitif sonuç verdiği durumdaki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analit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konsantrasyonunu</w:t>
      </w:r>
      <w:proofErr w:type="gram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Çapraz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reaktivite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Spesifik olmayan antikorların bir antikor analizinin bir test antijenine bağlanma yeteneği veya hedef olmayan nükleik asitlerin bir NAT analizinde reaktif olma yeteneği gibi hedef olmayan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analitlerin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belirteçlerin benzerlik nedeniyle bir testte yalancı pozitif sonuçlara neden olma yeteneğini,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c) Destekleyici analiz: Başka bir analizin test sonucunun yorumlanması için daha fazla bilgi sağlamak amacıyla kullanılan cihazı,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ç) Doğrulama analizi: Tarama analizinde reaktif bulunan bir sonucun doğrulanması için kullanılan cihazı,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d) Gerçek pozitif: Hedef belirteç için pozitif olduğu bilinen ve cihaz tarafından pozitif tanımlanan numuneyi,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e) Girişim (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İnterferans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): Birbiriyle ilgisi olmayan maddelerin bir analizdeki sonuçları etkileme yeteneğini,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f) Hızlı test: Otomatik </w:t>
      </w:r>
      <w:proofErr w:type="gramStart"/>
      <w:r w:rsidR="00E55DD6" w:rsidRPr="00E55DD6">
        <w:rPr>
          <w:rFonts w:ascii="Times New Roman" w:eastAsia="Calibri" w:hAnsi="Times New Roman" w:cs="Times New Roman"/>
          <w:sz w:val="24"/>
          <w:szCs w:val="24"/>
        </w:rPr>
        <w:t>prosedür</w:t>
      </w:r>
      <w:proofErr w:type="gramEnd"/>
      <w:r w:rsidR="00E55DD6" w:rsidRPr="00E55DD6">
        <w:rPr>
          <w:rFonts w:ascii="Times New Roman" w:eastAsia="Calibri" w:hAnsi="Times New Roman" w:cs="Times New Roman"/>
          <w:sz w:val="24"/>
          <w:szCs w:val="24"/>
        </w:rPr>
        <w:t xml:space="preserve"> içermeyen </w:t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(sonuçların okunması hariç) ve hızlı bir sonuç vermek üzere tasarlanmış olan, tek başına veya küçük </w:t>
      </w:r>
      <w:r w:rsidR="00E55DD6" w:rsidRPr="00E55DD6">
        <w:rPr>
          <w:rFonts w:ascii="Times New Roman" w:eastAsia="Calibri" w:hAnsi="Times New Roman" w:cs="Times New Roman"/>
          <w:sz w:val="24"/>
          <w:szCs w:val="24"/>
        </w:rPr>
        <w:t xml:space="preserve">serilerde </w:t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kullanılan, kalitatif veya yarı kantitatif bir in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vitro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tanı cihazını,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g) NAT sistemi: Nükleik asitlerin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ekstraksiyonu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amplifikasyonu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saptanması için kullanılan cihazların </w:t>
      </w:r>
      <w:proofErr w:type="gram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kombinasyonunu</w:t>
      </w:r>
      <w:proofErr w:type="gram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02B8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Nükleik asit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amplifikasyon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(çoğaltma)  teknikleri (NAT): bir hedef dizisinin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amplifikasyonu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sinyalinin güçlendirilmesi ya da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hibridizasyon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yoluyla nükleik asitlerin saptanması ve/veya miktarlarının belirlenmesi için kullanılan metotları,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02B8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) Saptama limiti (LOD): hedef belirtecin saptanabildiği en düşük miktarı,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02B8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Tarama analizi: Yalnızca, önceden belirlenmiş bir belirteç veya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analiti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izlemek için kullanılması amaçlanan cihazlar hariç olmak üzere, bir belirteci veya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analiti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saptamak için kullanılan ve kullanımının ardından bir doğrulama analizinin kullanılabileceği cihazı,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02B8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) Tutarlılık (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robustness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): Bir analitik işlemin, yöntem parametrelerinde küçük ama öngörülen </w:t>
      </w:r>
      <w:r w:rsidR="00E55DD6" w:rsidRPr="00E55DD6">
        <w:rPr>
          <w:rFonts w:ascii="Times New Roman" w:eastAsia="Calibri" w:hAnsi="Times New Roman" w:cs="Times New Roman"/>
          <w:sz w:val="24"/>
          <w:szCs w:val="24"/>
        </w:rPr>
        <w:t xml:space="preserve">değişkenlerden </w:t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etkilenmeme kapasitesini ve normal kullanım süresince güvenilirliğinin bir göstergesini,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02B8">
        <w:rPr>
          <w:rFonts w:ascii="Times New Roman" w:eastAsia="Times New Roman" w:hAnsi="Times New Roman" w:cs="Times New Roman"/>
          <w:sz w:val="24"/>
          <w:szCs w:val="24"/>
          <w:lang w:eastAsia="tr-TR"/>
        </w:rPr>
        <w:t>j</w:t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) Tüm sistem hata oranı: Tüm s</w:t>
      </w:r>
      <w:bookmarkStart w:id="0" w:name="_GoBack"/>
      <w:bookmarkEnd w:id="0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ürecin imalatçı tarafından belirtilen şekilde gerçekleştirildiğinde ortaya çıkan hata sıklığını,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02B8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Virüs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tiplendirme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cihazı: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enfeksiyon</w:t>
      </w:r>
      <w:proofErr w:type="gram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tanısı veya tarama için kullanılmayan, halihazırda pozitif olduğu bilinen örneklerin </w:t>
      </w:r>
      <w:proofErr w:type="spellStart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tiplendirilmesi</w:t>
      </w:r>
      <w:proofErr w:type="spellEnd"/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kullanılan cihazı,</w:t>
      </w:r>
    </w:p>
    <w:p w:rsidR="00576C3A" w:rsidRDefault="00576C3A" w:rsidP="00576C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02B8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) Yalancı negatif: Hedef belirteç için pozitif olduğu bilinen ancak cihaz tarafından negatif tanımlanan numuneyi,</w:t>
      </w:r>
    </w:p>
    <w:p w:rsidR="00E55DD6" w:rsidRPr="00E55DD6" w:rsidRDefault="002E02B8" w:rsidP="00576C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E55DD6"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) Yalancı pozitif: Hedef belirteç için negatif olduğu bilinen ancak cihaz tarafından pozitif tanımlanan numuneyi,</w:t>
      </w:r>
    </w:p>
    <w:p w:rsidR="00E55DD6" w:rsidRDefault="00E55DD6" w:rsidP="009B30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ifade</w:t>
      </w:r>
      <w:proofErr w:type="gramEnd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eder.</w:t>
      </w:r>
    </w:p>
    <w:p w:rsidR="009B3063" w:rsidRDefault="009B3063" w:rsidP="009B30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02B8" w:rsidRDefault="002E02B8" w:rsidP="009B30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02B8" w:rsidRDefault="002E02B8" w:rsidP="009B30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3063" w:rsidRPr="00E55DD6" w:rsidRDefault="009B3063" w:rsidP="009B3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DD6" w:rsidRPr="00E55DD6" w:rsidRDefault="00E55DD6" w:rsidP="00576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DD6" w:rsidRPr="00E55DD6" w:rsidRDefault="00E55DD6" w:rsidP="009B306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5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İKİNCİ BÖLÜM</w:t>
      </w:r>
    </w:p>
    <w:p w:rsidR="00E55DD6" w:rsidRPr="00E55DD6" w:rsidRDefault="00E55DD6" w:rsidP="009B3063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Çeşitli ve Son Hükümler</w:t>
      </w:r>
    </w:p>
    <w:p w:rsidR="001F6304" w:rsidRDefault="00E55DD6" w:rsidP="001F630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5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Avrupa Birliği mevzuatına uyum</w:t>
      </w:r>
    </w:p>
    <w:p w:rsidR="001F6304" w:rsidRDefault="00E55DD6" w:rsidP="001F630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gramStart"/>
      <w:r w:rsidRPr="00E5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MADDE 4- </w:t>
      </w:r>
      <w:r w:rsidRPr="00E55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(1) Bu Tebliğ; in </w:t>
      </w:r>
      <w:proofErr w:type="spellStart"/>
      <w:r w:rsidRPr="00E55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vitro</w:t>
      </w:r>
      <w:proofErr w:type="spellEnd"/>
      <w:r w:rsidRPr="00E55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tanı amaçlı tıbbi cihazlara ilişkin 5/4/2017 tarihli (AB) 2017/746 sayılı Avrupa Parlamentosu ve Konsey Tüzüğü uyarınca belirli sınıf D in </w:t>
      </w:r>
      <w:proofErr w:type="spellStart"/>
      <w:r w:rsidRPr="00E55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vitro</w:t>
      </w:r>
      <w:proofErr w:type="spellEnd"/>
      <w:r w:rsidRPr="00E55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tanı amaçlı tıbbi cihazlarına yönelik ortak </w:t>
      </w:r>
      <w:proofErr w:type="spellStart"/>
      <w:r w:rsidRPr="00E55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spesifikasyonları</w:t>
      </w:r>
      <w:proofErr w:type="spellEnd"/>
      <w:r w:rsidRPr="00E55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belirleyen 4/7/2022 tarihli ve (AB) 2022/1107 sayılı Komisyon Uygulama Tüzüğü dikkate alınarak Avrupa Birliği mevzuatına uyum çerçevesinde hazırlanmıştır.</w:t>
      </w:r>
      <w:proofErr w:type="gramEnd"/>
    </w:p>
    <w:p w:rsidR="001F6304" w:rsidRDefault="00E55DD6" w:rsidP="001F630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55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Yürürlükten kaldırılan tebliğ</w:t>
      </w:r>
    </w:p>
    <w:p w:rsidR="00E55DD6" w:rsidRPr="00E55DD6" w:rsidRDefault="00E55DD6" w:rsidP="001F6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5-</w:t>
      </w:r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10/3/2019 tarihli ve 30710 sayılı Resmî </w:t>
      </w:r>
      <w:proofErr w:type="spellStart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Vücut Dışında Kullanılan Tıbbî Tanı Cihazları İçin Ortak Teknik Özellikler Tebliği yürürlükten kaldırılmıştır.</w:t>
      </w:r>
    </w:p>
    <w:p w:rsidR="001F6304" w:rsidRDefault="00E55DD6" w:rsidP="001F630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55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Geçiş hükümleri</w:t>
      </w:r>
    </w:p>
    <w:p w:rsidR="001F6304" w:rsidRDefault="00E55DD6" w:rsidP="001F6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55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GEÇİCİ MADDE 1</w:t>
      </w:r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(1) 5 inci madde ile yürürlükten kaldırılan Tebliğde belirtilen ortak teknik </w:t>
      </w:r>
      <w:proofErr w:type="spellStart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spesifikasyonlara</w:t>
      </w:r>
      <w:proofErr w:type="spellEnd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 olan cihazların 25/7/2022 tarihinden 25/7/2024 tarihine kadar İn </w:t>
      </w:r>
      <w:proofErr w:type="spellStart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Vitro</w:t>
      </w:r>
      <w:proofErr w:type="spellEnd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Tanı Amaçlı Tıbbi Cihaz Yönetmeliğinin Ek </w:t>
      </w:r>
      <w:proofErr w:type="spellStart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I’inin</w:t>
      </w:r>
      <w:proofErr w:type="spellEnd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9.1 numaralı maddesinin (a) ve (b) bentlerinde, 9.3 numaralı maddesinde ve 9.4 numaralı maddesinin (a) bendinde belirtilen performans karakteristiklerine ilişkin gerekliliklere uygun olduğu varsayılır.</w:t>
      </w:r>
      <w:proofErr w:type="gramEnd"/>
    </w:p>
    <w:p w:rsidR="001F6304" w:rsidRDefault="00E55DD6" w:rsidP="001F6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Birinci fıkrada atıfta bulunulan dönem boyunca 5 inci madde ile yürürlükten kaldırılan Tebliğde belirtilen ortak teknik </w:t>
      </w:r>
      <w:proofErr w:type="spellStart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spesifikasyonlara</w:t>
      </w:r>
      <w:proofErr w:type="spellEnd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 olmayan cihazların imalatçıları, asgari olarak bunlara eşdeğer bir güvenlilik ve performans düzeyi sağlayan çözümleri kabul ettiklerini usulüne uygun olarak gerekçelendirir.</w:t>
      </w:r>
    </w:p>
    <w:p w:rsidR="00E55DD6" w:rsidRPr="00E55DD6" w:rsidRDefault="00E55DD6" w:rsidP="001F63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 Bu Tebliğde belirtilen ortak </w:t>
      </w:r>
      <w:proofErr w:type="spellStart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spesifikasyonlara</w:t>
      </w:r>
      <w:proofErr w:type="spellEnd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 olan cihazların 25/7/2022 tarihinden 25/7/2024 tarihine kadar İn </w:t>
      </w:r>
      <w:proofErr w:type="spellStart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Vitro</w:t>
      </w:r>
      <w:proofErr w:type="spellEnd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Tanı Amaçlı Tıbbi Cihaz Yönetmeliğinin Ek </w:t>
      </w:r>
      <w:proofErr w:type="spellStart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I’inin</w:t>
      </w:r>
      <w:proofErr w:type="spellEnd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9.1 numaralı maddesinin (a) ve (b) bentlerinde, 9.3 numaralı maddesinde ve 9.4 numaralı maddesinin (a) bendinde belirtilen performans karakteristiklerine ilişkin gerekliliklere uygun olduğu varsayılır.</w:t>
      </w:r>
      <w:proofErr w:type="gramEnd"/>
    </w:p>
    <w:p w:rsidR="00E55DD6" w:rsidRPr="00E55DD6" w:rsidRDefault="00E55DD6" w:rsidP="001F630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55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Yürürlük</w:t>
      </w:r>
    </w:p>
    <w:p w:rsidR="00E55DD6" w:rsidRPr="00E55DD6" w:rsidRDefault="00E55DD6" w:rsidP="001F6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6</w:t>
      </w:r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- (1) Bu Tebliğin;</w:t>
      </w:r>
    </w:p>
    <w:p w:rsidR="00E55DD6" w:rsidRPr="00E55DD6" w:rsidRDefault="00E55DD6" w:rsidP="001F6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a) Geçici 1 inci maddesi 25/7/2022 tarihinden itibaren geçerli olmak üzere,</w:t>
      </w:r>
    </w:p>
    <w:p w:rsidR="00E55DD6" w:rsidRPr="00E55DD6" w:rsidRDefault="00E55DD6" w:rsidP="001F63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b) Diğer hükümleri 25/7/2024 tarihinden geçerli olmak üzere yayımı tarihinde,</w:t>
      </w:r>
    </w:p>
    <w:p w:rsidR="00E55DD6" w:rsidRPr="00E55DD6" w:rsidRDefault="00E55DD6" w:rsidP="001F630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yürürlüğe</w:t>
      </w:r>
      <w:proofErr w:type="gramEnd"/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girer.</w:t>
      </w:r>
    </w:p>
    <w:p w:rsidR="00E55DD6" w:rsidRPr="00E55DD6" w:rsidRDefault="00E55DD6" w:rsidP="001F630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55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Yürütme</w:t>
      </w:r>
    </w:p>
    <w:p w:rsidR="00E55DD6" w:rsidRPr="00E55DD6" w:rsidRDefault="00E55DD6" w:rsidP="001F630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55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7</w:t>
      </w:r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- (1)</w:t>
      </w:r>
      <w:r w:rsidRPr="00E55DD6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E55DD6">
        <w:rPr>
          <w:rFonts w:ascii="Times New Roman" w:eastAsia="Times New Roman" w:hAnsi="Times New Roman" w:cs="Times New Roman"/>
          <w:sz w:val="24"/>
          <w:szCs w:val="24"/>
          <w:lang w:eastAsia="tr-TR"/>
        </w:rPr>
        <w:t>u Tebliğ hükümlerini Türkiye İlaç ve Tıbbî Cihaz Kurumu Başkanı yürütür.</w:t>
      </w:r>
    </w:p>
    <w:p w:rsidR="00E55DD6" w:rsidRPr="00E55DD6" w:rsidRDefault="00E55DD6" w:rsidP="00576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5DD6" w:rsidRPr="00E55DD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D6" w:rsidRDefault="00E55DD6" w:rsidP="00E55DD6">
      <w:pPr>
        <w:spacing w:after="0" w:line="240" w:lineRule="auto"/>
      </w:pPr>
      <w:r>
        <w:separator/>
      </w:r>
    </w:p>
  </w:endnote>
  <w:endnote w:type="continuationSeparator" w:id="0">
    <w:p w:rsidR="00E55DD6" w:rsidRDefault="00E55DD6" w:rsidP="00E5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4560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301B2" w:rsidRDefault="007301B2">
            <w:pPr>
              <w:pStyle w:val="AltBilgi"/>
              <w:jc w:val="right"/>
            </w:pPr>
            <w:r w:rsidRPr="007301B2">
              <w:rPr>
                <w:rFonts w:ascii="Times New Roman" w:hAnsi="Times New Roman" w:cs="Times New Roman"/>
                <w:sz w:val="24"/>
              </w:rPr>
              <w:t>Sayfa</w:t>
            </w:r>
            <w:r w:rsidRPr="007301B2"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2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2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0961" w:rsidRDefault="00C109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D6" w:rsidRDefault="00E55DD6" w:rsidP="00E55DD6">
      <w:pPr>
        <w:spacing w:after="0" w:line="240" w:lineRule="auto"/>
      </w:pPr>
      <w:r>
        <w:separator/>
      </w:r>
    </w:p>
  </w:footnote>
  <w:footnote w:type="continuationSeparator" w:id="0">
    <w:p w:rsidR="00E55DD6" w:rsidRDefault="00E55DD6" w:rsidP="00E5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D6" w:rsidRDefault="00E55DD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15860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D6" w:rsidRDefault="00E55DD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15861" o:spid="_x0000_s2051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D6" w:rsidRDefault="00E55DD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15859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CC"/>
    <w:rsid w:val="001F6304"/>
    <w:rsid w:val="002E02B8"/>
    <w:rsid w:val="002E02CC"/>
    <w:rsid w:val="00576C3A"/>
    <w:rsid w:val="006175A4"/>
    <w:rsid w:val="007301B2"/>
    <w:rsid w:val="009B3063"/>
    <w:rsid w:val="00C10961"/>
    <w:rsid w:val="00D07275"/>
    <w:rsid w:val="00D646F5"/>
    <w:rsid w:val="00D74424"/>
    <w:rsid w:val="00E55DD6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FE847C"/>
  <w15:chartTrackingRefBased/>
  <w15:docId w15:val="{B45E0B93-D1BD-472B-A540-AF96251A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5DD6"/>
  </w:style>
  <w:style w:type="paragraph" w:styleId="AltBilgi">
    <w:name w:val="footer"/>
    <w:basedOn w:val="Normal"/>
    <w:link w:val="AltBilgiChar"/>
    <w:uiPriority w:val="99"/>
    <w:unhideWhenUsed/>
    <w:rsid w:val="00E5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TEZCANLI</dc:creator>
  <cp:keywords/>
  <dc:description/>
  <cp:lastModifiedBy>Kübra TEZCANLI</cp:lastModifiedBy>
  <cp:revision>7</cp:revision>
  <dcterms:created xsi:type="dcterms:W3CDTF">2024-04-01T08:04:00Z</dcterms:created>
  <dcterms:modified xsi:type="dcterms:W3CDTF">2024-04-01T08:23:00Z</dcterms:modified>
</cp:coreProperties>
</file>