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097" w:rsidRPr="00A714E5" w:rsidRDefault="005E5A62" w:rsidP="003F1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E5">
        <w:rPr>
          <w:rFonts w:ascii="Times New Roman" w:hAnsi="Times New Roman" w:cs="Times New Roman"/>
          <w:b/>
          <w:sz w:val="24"/>
          <w:szCs w:val="24"/>
        </w:rPr>
        <w:t>TÜR</w:t>
      </w:r>
      <w:r w:rsidR="00A55097" w:rsidRPr="00A714E5">
        <w:rPr>
          <w:rFonts w:ascii="Times New Roman" w:hAnsi="Times New Roman" w:cs="Times New Roman"/>
          <w:b/>
          <w:sz w:val="24"/>
          <w:szCs w:val="24"/>
        </w:rPr>
        <w:t>KİYE İLAÇ VE TIBBİ CİHAZ KURUMU</w:t>
      </w:r>
    </w:p>
    <w:p w:rsidR="00A942C5" w:rsidRPr="00A714E5" w:rsidRDefault="00547D89" w:rsidP="003F1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E5">
        <w:rPr>
          <w:rFonts w:ascii="Times New Roman" w:hAnsi="Times New Roman" w:cs="Times New Roman"/>
          <w:b/>
          <w:sz w:val="24"/>
          <w:szCs w:val="24"/>
        </w:rPr>
        <w:t xml:space="preserve">KILAVUZ HAZIRLAMA </w:t>
      </w:r>
      <w:r w:rsidR="00A55097" w:rsidRPr="00A714E5">
        <w:rPr>
          <w:rFonts w:ascii="Times New Roman" w:hAnsi="Times New Roman" w:cs="Times New Roman"/>
          <w:b/>
          <w:sz w:val="24"/>
          <w:szCs w:val="24"/>
        </w:rPr>
        <w:t>USUL VE ESASLARINA DAİR KILAVUZ</w:t>
      </w:r>
    </w:p>
    <w:p w:rsidR="00A55097" w:rsidRPr="00A714E5" w:rsidRDefault="00A55097" w:rsidP="003F1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97" w:rsidRPr="00A714E5" w:rsidRDefault="00A55097" w:rsidP="003F1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97" w:rsidRPr="00A714E5" w:rsidRDefault="00A55097" w:rsidP="003F1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E5">
        <w:rPr>
          <w:rFonts w:ascii="Times New Roman" w:hAnsi="Times New Roman" w:cs="Times New Roman"/>
          <w:sz w:val="24"/>
          <w:szCs w:val="24"/>
        </w:rPr>
        <w:tab/>
      </w:r>
      <w:r w:rsidRPr="00A714E5">
        <w:rPr>
          <w:rFonts w:ascii="Times New Roman" w:hAnsi="Times New Roman" w:cs="Times New Roman"/>
          <w:b/>
          <w:sz w:val="24"/>
          <w:szCs w:val="24"/>
        </w:rPr>
        <w:t>Amaç ve kapsam</w:t>
      </w:r>
    </w:p>
    <w:p w:rsidR="00A55097" w:rsidRPr="00A714E5" w:rsidRDefault="00A55097" w:rsidP="003F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E5">
        <w:rPr>
          <w:rFonts w:ascii="Times New Roman" w:hAnsi="Times New Roman" w:cs="Times New Roman"/>
          <w:b/>
          <w:sz w:val="24"/>
          <w:szCs w:val="24"/>
        </w:rPr>
        <w:tab/>
        <w:t>MADDE 1-</w:t>
      </w:r>
      <w:r w:rsidRPr="00A714E5">
        <w:rPr>
          <w:rFonts w:ascii="Times New Roman" w:hAnsi="Times New Roman" w:cs="Times New Roman"/>
          <w:sz w:val="24"/>
          <w:szCs w:val="24"/>
        </w:rPr>
        <w:t xml:space="preserve"> (1) Bu Kılavuzun amacı, Türkiye İlaç ve Tıbbi Cihaz Kurumu </w:t>
      </w:r>
      <w:r w:rsidR="00583A2E" w:rsidRPr="00A714E5">
        <w:rPr>
          <w:rFonts w:ascii="Times New Roman" w:hAnsi="Times New Roman" w:cs="Times New Roman"/>
          <w:sz w:val="24"/>
          <w:szCs w:val="24"/>
        </w:rPr>
        <w:t>görev alanında bulunan iş ve işlemlerin</w:t>
      </w:r>
      <w:r w:rsidRPr="00A714E5">
        <w:rPr>
          <w:rFonts w:ascii="Times New Roman" w:hAnsi="Times New Roman" w:cs="Times New Roman"/>
          <w:sz w:val="24"/>
          <w:szCs w:val="24"/>
        </w:rPr>
        <w:t xml:space="preserve"> uygulanmasın</w:t>
      </w:r>
      <w:r w:rsidR="00583A2E" w:rsidRPr="00A714E5">
        <w:rPr>
          <w:rFonts w:ascii="Times New Roman" w:hAnsi="Times New Roman" w:cs="Times New Roman"/>
          <w:sz w:val="24"/>
          <w:szCs w:val="24"/>
        </w:rPr>
        <w:t xml:space="preserve">ı gösteren </w:t>
      </w:r>
      <w:r w:rsidRPr="00A714E5">
        <w:rPr>
          <w:rFonts w:ascii="Times New Roman" w:hAnsi="Times New Roman" w:cs="Times New Roman"/>
          <w:sz w:val="24"/>
          <w:szCs w:val="24"/>
        </w:rPr>
        <w:t>kılavuzların hazırlanma ve yürürlüğe konulma usul ve esaslarını belirlemektir.</w:t>
      </w:r>
    </w:p>
    <w:p w:rsidR="00A55097" w:rsidRPr="00A714E5" w:rsidRDefault="00A55097" w:rsidP="003F1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E5">
        <w:rPr>
          <w:rFonts w:ascii="Times New Roman" w:hAnsi="Times New Roman" w:cs="Times New Roman"/>
          <w:b/>
          <w:sz w:val="24"/>
          <w:szCs w:val="24"/>
        </w:rPr>
        <w:tab/>
        <w:t>Dayanak</w:t>
      </w:r>
    </w:p>
    <w:p w:rsidR="00547D89" w:rsidRPr="00A714E5" w:rsidRDefault="00A55097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hAnsi="Times New Roman" w:cs="Times New Roman"/>
          <w:b/>
          <w:sz w:val="24"/>
          <w:szCs w:val="24"/>
        </w:rPr>
        <w:t xml:space="preserve">MADDE 2- </w:t>
      </w:r>
      <w:r w:rsidRPr="00A714E5">
        <w:rPr>
          <w:rFonts w:ascii="Times New Roman" w:hAnsi="Times New Roman" w:cs="Times New Roman"/>
          <w:sz w:val="24"/>
          <w:szCs w:val="24"/>
        </w:rPr>
        <w:t xml:space="preserve">(1) Bu Kılavuz, 4 sayılı </w:t>
      </w:r>
      <w:r w:rsidR="00547D89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Bakanlıklara Bağlı, İlgili, İlişkili Kurum ve Kuruluşlar ile</w:t>
      </w:r>
      <w:r w:rsidR="00432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547D89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Diğer Kurum ve Kuruluşların Teşkilatı Hakkında</w:t>
      </w:r>
      <w:r w:rsidR="00432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547D89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Cumhurbaşkanlığı Kararnamesinin </w:t>
      </w:r>
      <w:r w:rsidR="00583A2E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506 ve</w:t>
      </w:r>
      <w:r w:rsidR="00432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796’</w:t>
      </w:r>
      <w:r w:rsidR="00547D89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ncı maddelerine dayanılarak hazırlanmıştır.</w:t>
      </w:r>
    </w:p>
    <w:p w:rsidR="003F177C" w:rsidRPr="00A714E5" w:rsidRDefault="003F177C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Tanımlar</w:t>
      </w:r>
    </w:p>
    <w:p w:rsidR="003F177C" w:rsidRPr="00A714E5" w:rsidRDefault="003F177C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3-</w:t>
      </w: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(1) Bu Kılavuzun uygulanmasında;</w:t>
      </w:r>
    </w:p>
    <w:p w:rsidR="00A714E5" w:rsidRPr="00A714E5" w:rsidRDefault="00A714E5" w:rsidP="00A71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Hukuk Müşavirliği: Türkiye İlaç ve Tıbbi Cihaz Kurumu Hukuk Müşavirliğini,</w:t>
      </w:r>
    </w:p>
    <w:p w:rsidR="003F177C" w:rsidRPr="00A714E5" w:rsidRDefault="00A714E5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3F177C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Kılavuz: Yönetmeliklerin ve diğer düzenlemelerin uygulanmasını ayrıntılı olarak göstermek üzere Kurum tarafından hazırlanan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3F177C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rehber niteliğindeki alt düzenlemeleri,</w:t>
      </w:r>
    </w:p>
    <w:p w:rsidR="003F177C" w:rsidRPr="00A714E5" w:rsidRDefault="00A714E5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="003F177C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Kurum: Türkiye İlaç ve Tıbbi Cihaz Kurumunu,</w:t>
      </w:r>
    </w:p>
    <w:p w:rsidR="003F177C" w:rsidRPr="00A714E5" w:rsidRDefault="00A714E5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</w:t>
      </w:r>
      <w:r w:rsidR="003F177C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Kurum Başkanı: Türkiye İlaç ve Tıbbi Cihaz Kurumu Başkanını,</w:t>
      </w:r>
    </w:p>
    <w:p w:rsidR="00547D89" w:rsidRPr="00A714E5" w:rsidRDefault="00547D89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Kılavuz</w:t>
      </w:r>
      <w:r w:rsidRPr="0054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hazırlamada uyulacak ilkeler</w:t>
      </w:r>
    </w:p>
    <w:p w:rsidR="00C11945" w:rsidRPr="00A714E5" w:rsidRDefault="00547D89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4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MADDE </w:t>
      </w:r>
      <w:r w:rsidR="003F177C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</w:t>
      </w:r>
      <w:r w:rsidRPr="00547D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(1) </w:t>
      </w:r>
      <w:r w:rsidR="00C11945"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Kılavuzlar, dayanağı olan yönetmeliğe ve diğer üst hukuk normlarına aykırı olamaz.</w:t>
      </w:r>
    </w:p>
    <w:p w:rsidR="00547D89" w:rsidRPr="00A714E5" w:rsidRDefault="00C11945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 Kılavuzlar, 24.02.2022 tarihli ve 31760 sayılı Resmî Gazete’de yayımlanan Mevzuat Hazırlama Usul ve Esasları Hakkında Yönetmelikte belirtilen şekil şartlarına</w:t>
      </w:r>
      <w:r w:rsidR="00432B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uygun olarak hazırlanır.</w:t>
      </w:r>
    </w:p>
    <w:p w:rsidR="00547D89" w:rsidRPr="00547D89" w:rsidRDefault="00547D89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Kılavuzları</w:t>
      </w:r>
      <w:r w:rsidR="00AF6BAC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</w:t>
      </w:r>
      <w:r w:rsidRPr="0054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hazırla</w:t>
      </w:r>
      <w:r w:rsidR="00AF6BAC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nması</w:t>
      </w:r>
    </w:p>
    <w:p w:rsidR="00C11945" w:rsidRPr="00A714E5" w:rsidRDefault="00547D89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4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MADDE </w:t>
      </w:r>
      <w:r w:rsidR="003F177C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  <w:r w:rsidRPr="00547D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(1) </w:t>
      </w: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Kılavuz</w:t>
      </w:r>
      <w:r w:rsidRPr="00547D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lar, konuyla ilgili </w:t>
      </w:r>
      <w:r w:rsidR="00583A2E"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başkan yardımcılığına bağlı </w:t>
      </w: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daire</w:t>
      </w:r>
      <w:r w:rsidR="00C11945"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veya daireler tarafından hazırlanır.</w:t>
      </w:r>
    </w:p>
    <w:p w:rsidR="00AF6BAC" w:rsidRPr="00547D89" w:rsidRDefault="00AF6BAC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Kılavuzların</w:t>
      </w:r>
      <w:r w:rsidR="0043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iç görüşe gönderilmesi</w:t>
      </w:r>
    </w:p>
    <w:p w:rsidR="00547D89" w:rsidRPr="00A714E5" w:rsidRDefault="00AF6BAC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4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MADDE </w:t>
      </w:r>
      <w:r w:rsidR="003F177C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Pr="00547D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(1) </w:t>
      </w:r>
      <w:r w:rsidR="00547D89"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Hazırlanan kılavuz,</w:t>
      </w:r>
      <w:r w:rsidR="00C11945"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incelenmesi için ilgili </w:t>
      </w:r>
      <w:r w:rsid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Kurum </w:t>
      </w:r>
      <w:r w:rsidR="00583A2E"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başkan yardımcılıklarına bağlı</w:t>
      </w:r>
      <w:r w:rsidR="00C11945"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dairelere ve Hukuk Müşavirliğine gönderilir. İlgili daireler ve Hukuk Müşavirliği,</w:t>
      </w:r>
      <w:r w:rsidR="00547D89"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kılavuz hakkındaki görüşlerini on beş gün içinde bildirir.</w:t>
      </w: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Lüzumu halinde, görüş vermek için en fazla </w:t>
      </w:r>
      <w:r w:rsidR="00C11945"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 beş günlük ek süre talep edilebilir. Görüş bildirmekten kaçınılamaz. Süresinde görüş verilmezse olumlu görüş verilmiş sayılır.</w:t>
      </w:r>
    </w:p>
    <w:p w:rsidR="00AF6BAC" w:rsidRPr="00547D89" w:rsidRDefault="00AF6BAC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Kılavuzların</w:t>
      </w:r>
      <w:r w:rsidR="0043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dış görüşe gönderilmesi</w:t>
      </w:r>
    </w:p>
    <w:p w:rsidR="00AF6BAC" w:rsidRPr="00A714E5" w:rsidRDefault="00AF6BAC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4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MADDE </w:t>
      </w:r>
      <w:r w:rsidR="003F177C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Pr="00547D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(1) </w:t>
      </w:r>
      <w:r w:rsidR="00432B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Hazırlanan kılavuz taslağı,</w:t>
      </w: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32B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görüş bildirilmesi için </w:t>
      </w: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diğer kamu kurum ve kuruluşları, </w:t>
      </w:r>
      <w:r w:rsidRPr="00547D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mahallî idareler, üniversiteler, sendikalar, kamu kurumu niteliğindeki meslek kuruluşları</w:t>
      </w: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sivil toplum kuruluşları ve</w:t>
      </w:r>
      <w:r w:rsidR="00432B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özel sektör paydaşlarına gönderilir</w:t>
      </w:r>
      <w:r w:rsidRPr="00547D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BA04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32B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Ayrıca </w:t>
      </w:r>
      <w:r w:rsidR="00BA04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Kurumun resmi internet sitesinde yayımlanarak ilgililerin görüşüne açılır.</w:t>
      </w:r>
    </w:p>
    <w:p w:rsidR="00547D89" w:rsidRPr="00A714E5" w:rsidRDefault="00583A2E" w:rsidP="003F1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Kılavuz</w:t>
      </w:r>
      <w:r w:rsidR="00547D89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ların Başkanlık Makamına </w:t>
      </w:r>
      <w:r w:rsidR="00C11945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arzı</w:t>
      </w:r>
    </w:p>
    <w:p w:rsidR="00C11945" w:rsidRPr="00A714E5" w:rsidRDefault="00C11945" w:rsidP="003F1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MADDE </w:t>
      </w:r>
      <w:r w:rsidR="003F177C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(1) İ</w:t>
      </w:r>
      <w:r w:rsidR="00583A2E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 ve dış görüşler oluşturulduktan sonra</w:t>
      </w:r>
      <w:r w:rsid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kılavuz,</w:t>
      </w:r>
      <w:r w:rsidR="00583A2E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hazırlayan daire tarafından</w:t>
      </w:r>
      <w:r w:rsidR="00A714E5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daire başkanının ve bağlı olduğu Kurum başkan yardımcısının imzasıyla,</w:t>
      </w:r>
      <w:r w:rsidR="00583A2E"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yürürlüğe konulmak üzere Kurum Başkanı onayına sunulur. </w:t>
      </w:r>
    </w:p>
    <w:p w:rsidR="00583A2E" w:rsidRPr="00A714E5" w:rsidRDefault="00583A2E" w:rsidP="003F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Kılavuzların yayımlanması</w:t>
      </w:r>
    </w:p>
    <w:p w:rsidR="005E5A62" w:rsidRPr="00A714E5" w:rsidRDefault="00583A2E" w:rsidP="003F1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MADDE </w:t>
      </w:r>
      <w:r w:rsidR="003F177C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</w:t>
      </w: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(1) Kurum Başkanı tarafından onaylanan kılavuzlar, Kurumun resmi internet sitesinde yayımlanarak duyurulur. Ayrıca ilgili</w:t>
      </w:r>
      <w:r w:rsid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kişilere ve resmi ve özel kuruluşlara</w:t>
      </w: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resmi yazı ile gönderilir.</w:t>
      </w:r>
    </w:p>
    <w:p w:rsidR="00583A2E" w:rsidRPr="00A714E5" w:rsidRDefault="00583A2E" w:rsidP="003F1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Hüküm bulunmayan haller</w:t>
      </w:r>
    </w:p>
    <w:p w:rsidR="00583A2E" w:rsidRPr="00A714E5" w:rsidRDefault="00583A2E" w:rsidP="003F1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MADDE </w:t>
      </w:r>
      <w:r w:rsidR="003F177C"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</w:t>
      </w:r>
      <w:r w:rsidRPr="00A71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Pr="00A71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(1) Bu Kılavuzda hüküm bulunmayan hallerde </w:t>
      </w: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24.02.2022 tarihli ve 31760 sayılı Resmî Gazete’de yayımlanan Mevzuat Hazırlama Usul ve Esasları Hakkında Yönetmelik hükümleri uygulanır.</w:t>
      </w:r>
    </w:p>
    <w:p w:rsidR="003F177C" w:rsidRPr="00A714E5" w:rsidRDefault="003F177C" w:rsidP="003F1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7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Yürürlük</w:t>
      </w:r>
    </w:p>
    <w:p w:rsidR="003F177C" w:rsidRPr="00A714E5" w:rsidRDefault="003F177C" w:rsidP="003F1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>MADDE 11-</w:t>
      </w: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(1) Bu Kılavuz, Kurum Başkanı tarafından onaylandığı tarihte yürürlüğe girer.</w:t>
      </w:r>
    </w:p>
    <w:p w:rsidR="00583A2E" w:rsidRPr="00A714E5" w:rsidRDefault="003F177C" w:rsidP="003F1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Yürütme</w:t>
      </w:r>
    </w:p>
    <w:p w:rsidR="003F177C" w:rsidRPr="00A714E5" w:rsidRDefault="003F177C" w:rsidP="003F1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7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MADDE 12- </w:t>
      </w:r>
      <w:r w:rsidRPr="00A714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 Bu Kılavuz hükümlerini Türkiye İlaç ve Tıbbi Cihaz Kurumu Başkanı yürütür.</w:t>
      </w:r>
    </w:p>
    <w:sectPr w:rsidR="003F177C" w:rsidRPr="00A714E5" w:rsidSect="00A714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B23"/>
    <w:multiLevelType w:val="hybridMultilevel"/>
    <w:tmpl w:val="91B413CE"/>
    <w:lvl w:ilvl="0" w:tplc="94CE075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77C7B"/>
    <w:multiLevelType w:val="hybridMultilevel"/>
    <w:tmpl w:val="BFE2DA3A"/>
    <w:lvl w:ilvl="0" w:tplc="CAFCAEA6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A442D4"/>
    <w:multiLevelType w:val="hybridMultilevel"/>
    <w:tmpl w:val="DE0ABFD8"/>
    <w:lvl w:ilvl="0" w:tplc="765640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D3104"/>
    <w:multiLevelType w:val="hybridMultilevel"/>
    <w:tmpl w:val="F964159A"/>
    <w:lvl w:ilvl="0" w:tplc="3152832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2392225">
    <w:abstractNumId w:val="0"/>
  </w:num>
  <w:num w:numId="2" w16cid:durableId="561331311">
    <w:abstractNumId w:val="3"/>
  </w:num>
  <w:num w:numId="3" w16cid:durableId="203955787">
    <w:abstractNumId w:val="1"/>
  </w:num>
  <w:num w:numId="4" w16cid:durableId="1249580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1C"/>
    <w:rsid w:val="000939E7"/>
    <w:rsid w:val="00302DCD"/>
    <w:rsid w:val="0037001A"/>
    <w:rsid w:val="003F177C"/>
    <w:rsid w:val="00432B6D"/>
    <w:rsid w:val="004B6C1C"/>
    <w:rsid w:val="00547D89"/>
    <w:rsid w:val="00583A2E"/>
    <w:rsid w:val="005E5A62"/>
    <w:rsid w:val="00955D56"/>
    <w:rsid w:val="00A55097"/>
    <w:rsid w:val="00A714E5"/>
    <w:rsid w:val="00A942C5"/>
    <w:rsid w:val="00AF6BAC"/>
    <w:rsid w:val="00BA045C"/>
    <w:rsid w:val="00C11945"/>
    <w:rsid w:val="00ED6FB8"/>
    <w:rsid w:val="00FC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E8A98-C762-2241-AD45-1DCD1E79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unhideWhenUsed/>
    <w:rsid w:val="005E5A62"/>
  </w:style>
  <w:style w:type="paragraph" w:styleId="ListeParagraf">
    <w:name w:val="List Paragraph"/>
    <w:basedOn w:val="Normal"/>
    <w:uiPriority w:val="34"/>
    <w:qFormat/>
    <w:rsid w:val="005E5A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169D-1599-4C53-89D0-77CCBACBFB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CELAYİR</dc:creator>
  <cp:lastModifiedBy>905384895325</cp:lastModifiedBy>
  <cp:revision>2</cp:revision>
  <cp:lastPrinted>2022-09-26T14:31:00Z</cp:lastPrinted>
  <dcterms:created xsi:type="dcterms:W3CDTF">2022-09-29T19:18:00Z</dcterms:created>
  <dcterms:modified xsi:type="dcterms:W3CDTF">2022-09-29T19:18:00Z</dcterms:modified>
</cp:coreProperties>
</file>