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0A4A3" w14:textId="0C2BF112" w:rsidR="00C351E8" w:rsidRPr="00923073" w:rsidRDefault="00C351E8" w:rsidP="008328C6">
      <w:pPr>
        <w:spacing w:before="120" w:after="12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107480089"/>
    </w:p>
    <w:p w14:paraId="5828CD44" w14:textId="77777777" w:rsidR="00C351E8" w:rsidRPr="00923073" w:rsidRDefault="00C351E8" w:rsidP="008328C6">
      <w:pPr>
        <w:spacing w:before="120" w:after="12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057918E" w14:textId="77777777" w:rsidR="00C351E8" w:rsidRPr="00923073" w:rsidRDefault="00C351E8" w:rsidP="008328C6">
      <w:pPr>
        <w:spacing w:before="120" w:after="12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A77C4FC" w14:textId="77777777" w:rsidR="00C351E8" w:rsidRPr="00923073" w:rsidRDefault="00C351E8" w:rsidP="008328C6">
      <w:pPr>
        <w:spacing w:before="120" w:after="12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CCCD90" w14:textId="77777777" w:rsidR="00C351E8" w:rsidRPr="00923073" w:rsidRDefault="00C351E8" w:rsidP="008328C6">
      <w:pPr>
        <w:spacing w:before="120" w:after="12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EF6FB3B" w14:textId="77777777" w:rsidR="00C351E8" w:rsidRPr="00923073" w:rsidRDefault="00C351E8" w:rsidP="008328C6">
      <w:pPr>
        <w:spacing w:before="120" w:after="12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410F22E" w14:textId="77777777" w:rsidR="00C351E8" w:rsidRPr="00923073" w:rsidRDefault="00C351E8" w:rsidP="008328C6">
      <w:pPr>
        <w:spacing w:before="120" w:after="12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927B057" w14:textId="77777777" w:rsidR="00C351E8" w:rsidRPr="00923073" w:rsidRDefault="00C351E8" w:rsidP="008328C6">
      <w:pPr>
        <w:spacing w:before="120" w:after="12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2A4ED73" w14:textId="77777777" w:rsidR="00C351E8" w:rsidRPr="00923073" w:rsidRDefault="00C351E8" w:rsidP="008328C6">
      <w:pPr>
        <w:spacing w:before="120" w:after="12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C36015D" w14:textId="77777777" w:rsidR="00C351E8" w:rsidRPr="00923073" w:rsidRDefault="00C351E8" w:rsidP="008328C6">
      <w:pPr>
        <w:spacing w:before="120" w:after="12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EDF0330" w14:textId="77777777" w:rsidR="00C351E8" w:rsidRPr="00923073" w:rsidRDefault="00C351E8" w:rsidP="008328C6">
      <w:pPr>
        <w:spacing w:before="120" w:after="12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C8A0DF7" w14:textId="77777777" w:rsidR="00C351E8" w:rsidRPr="00923073" w:rsidRDefault="00C351E8" w:rsidP="008328C6">
      <w:pPr>
        <w:spacing w:before="120" w:after="12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7" w:rightFromText="187" w:vertAnchor="page" w:horzAnchor="page" w:tblpX="1006" w:tblpY="5176"/>
        <w:tblW w:w="4870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478"/>
      </w:tblGrid>
      <w:tr w:rsidR="00C351E8" w:rsidRPr="00923073" w14:paraId="67B24FF8" w14:textId="77777777" w:rsidTr="001B35AB">
        <w:tc>
          <w:tcPr>
            <w:tcW w:w="8821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77467689" w14:textId="3B242A3C" w:rsidR="00C351E8" w:rsidRPr="000D48E2" w:rsidRDefault="00B3495F" w:rsidP="001B35AB">
            <w:pPr>
              <w:pStyle w:val="AralkYok"/>
              <w:spacing w:before="120" w:after="120"/>
              <w:ind w:left="581"/>
              <w:rPr>
                <w:rFonts w:ascii="Times New Roman" w:hAnsi="Times New Roman" w:cs="Times New Roman"/>
                <w:b/>
                <w:color w:val="000000" w:themeColor="text1"/>
                <w:sz w:val="76"/>
                <w:szCs w:val="76"/>
              </w:rPr>
            </w:pPr>
            <w:r w:rsidRPr="000D48E2">
              <w:rPr>
                <w:rFonts w:ascii="Times New Roman" w:hAnsi="Times New Roman" w:cs="Times New Roman"/>
                <w:b/>
                <w:color w:val="000000" w:themeColor="text1"/>
                <w:sz w:val="76"/>
                <w:szCs w:val="76"/>
              </w:rPr>
              <w:t>Farmakovijilans Faaliyetlerinde</w:t>
            </w:r>
            <w:r w:rsidR="00C351E8" w:rsidRPr="000D48E2">
              <w:rPr>
                <w:rFonts w:ascii="Times New Roman" w:hAnsi="Times New Roman" w:cs="Times New Roman"/>
                <w:b/>
                <w:color w:val="000000" w:themeColor="text1"/>
                <w:sz w:val="76"/>
                <w:szCs w:val="76"/>
              </w:rPr>
              <w:t xml:space="preserve"> Güven Uygulamaları Kılavuzu</w:t>
            </w:r>
          </w:p>
          <w:p w14:paraId="653E57FF" w14:textId="77777777" w:rsidR="00C351E8" w:rsidRPr="00923073" w:rsidRDefault="00C351E8" w:rsidP="001B35AB">
            <w:pPr>
              <w:pStyle w:val="AralkYok"/>
              <w:spacing w:before="120" w:after="120"/>
              <w:ind w:left="581"/>
              <w:rPr>
                <w:rFonts w:ascii="Times New Roman" w:hAnsi="Times New Roman" w:cs="Times New Roman"/>
                <w:color w:val="000000" w:themeColor="text1"/>
                <w:sz w:val="76"/>
                <w:szCs w:val="76"/>
              </w:rPr>
            </w:pPr>
          </w:p>
          <w:p w14:paraId="23C2BB5D" w14:textId="77777777" w:rsidR="00C351E8" w:rsidRPr="00923073" w:rsidRDefault="00C351E8" w:rsidP="00C351E8">
            <w:pPr>
              <w:pStyle w:val="AralkYok"/>
              <w:ind w:left="58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69BF27C" w14:textId="6E9C3F6A" w:rsidR="00C351E8" w:rsidRPr="00923073" w:rsidRDefault="00C351E8" w:rsidP="00C351E8">
            <w:pPr>
              <w:pStyle w:val="AralkYok"/>
              <w:ind w:left="5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2A65090" w14:textId="75750BEC" w:rsidR="00C351E8" w:rsidRDefault="00C351E8" w:rsidP="008328C6">
      <w:pPr>
        <w:spacing w:before="120" w:after="12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6574B8E" w14:textId="7DFA52EF" w:rsidR="000D48E2" w:rsidRDefault="000D48E2" w:rsidP="008328C6">
      <w:pPr>
        <w:spacing w:before="120" w:after="12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74C9E8D" w14:textId="216B474A" w:rsidR="000D48E2" w:rsidRDefault="000D48E2" w:rsidP="008328C6">
      <w:pPr>
        <w:spacing w:before="120" w:after="12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B9AA0F9" w14:textId="661E480C" w:rsidR="000D48E2" w:rsidRDefault="000D48E2" w:rsidP="008328C6">
      <w:pPr>
        <w:spacing w:before="120" w:after="12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2BEDB2A" w14:textId="293C1751" w:rsidR="000D48E2" w:rsidRPr="00923073" w:rsidRDefault="000D48E2" w:rsidP="008328C6">
      <w:pPr>
        <w:spacing w:before="120" w:after="12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16D845F" w14:textId="77777777" w:rsidR="00C351E8" w:rsidRPr="00923073" w:rsidRDefault="00C351E8" w:rsidP="008328C6">
      <w:pPr>
        <w:spacing w:before="120" w:after="12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3B187E2" w14:textId="77777777" w:rsidR="000D48E2" w:rsidRPr="000D48E2" w:rsidRDefault="000D48E2" w:rsidP="000D48E2">
      <w:pPr>
        <w:spacing w:before="120" w:after="12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48E2">
        <w:rPr>
          <w:rFonts w:ascii="Times New Roman" w:hAnsi="Times New Roman" w:cs="Times New Roman"/>
          <w:sz w:val="24"/>
          <w:szCs w:val="24"/>
        </w:rPr>
        <w:t xml:space="preserve">TÜRKİYE İLAÇ VE TIBBİ CİHAZ KURUMU </w:t>
      </w:r>
    </w:p>
    <w:p w14:paraId="517C051B" w14:textId="5CC8AE73" w:rsidR="00C351E8" w:rsidRPr="000D48E2" w:rsidRDefault="000D48E2" w:rsidP="000D48E2">
      <w:pPr>
        <w:spacing w:before="120" w:after="12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48E2">
        <w:rPr>
          <w:rFonts w:ascii="Times New Roman" w:hAnsi="Times New Roman" w:cs="Times New Roman"/>
          <w:sz w:val="24"/>
          <w:szCs w:val="24"/>
        </w:rPr>
        <w:t>02.09.2022</w:t>
      </w:r>
    </w:p>
    <w:p w14:paraId="26A74B50" w14:textId="75E50651" w:rsidR="00923073" w:rsidRDefault="00923073" w:rsidP="009C4EF6">
      <w:pPr>
        <w:spacing w:before="120" w:after="120" w:line="27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1" w:name="_Toc112412336"/>
      <w:bookmarkStart w:id="2" w:name="_Toc112412454"/>
    </w:p>
    <w:bookmarkEnd w:id="0"/>
    <w:bookmarkEnd w:id="1"/>
    <w:bookmarkEnd w:id="2"/>
    <w:p w14:paraId="2F22A643" w14:textId="77777777" w:rsidR="00E87BAC" w:rsidRDefault="00E87BAC" w:rsidP="00E87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BAC">
        <w:rPr>
          <w:rFonts w:ascii="Times New Roman" w:hAnsi="Times New Roman" w:cs="Times New Roman"/>
          <w:b/>
          <w:sz w:val="24"/>
          <w:szCs w:val="24"/>
        </w:rPr>
        <w:t xml:space="preserve">BÖLÜM I </w:t>
      </w:r>
    </w:p>
    <w:p w14:paraId="1D7D6F04" w14:textId="0B31E178" w:rsidR="00E87BAC" w:rsidRDefault="00E87BAC" w:rsidP="00E87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BAC">
        <w:rPr>
          <w:rFonts w:ascii="Times New Roman" w:hAnsi="Times New Roman" w:cs="Times New Roman"/>
          <w:b/>
          <w:sz w:val="24"/>
          <w:szCs w:val="24"/>
        </w:rPr>
        <w:t xml:space="preserve">Amaç, </w:t>
      </w:r>
      <w:r w:rsidR="005F3AEF">
        <w:rPr>
          <w:rFonts w:ascii="Times New Roman" w:hAnsi="Times New Roman" w:cs="Times New Roman"/>
          <w:b/>
          <w:sz w:val="24"/>
          <w:szCs w:val="24"/>
        </w:rPr>
        <w:t xml:space="preserve">Dayanak, </w:t>
      </w:r>
      <w:r w:rsidRPr="00E87BAC">
        <w:rPr>
          <w:rFonts w:ascii="Times New Roman" w:hAnsi="Times New Roman" w:cs="Times New Roman"/>
          <w:b/>
          <w:sz w:val="24"/>
          <w:szCs w:val="24"/>
        </w:rPr>
        <w:t>Kapsam ve Tanımlar</w:t>
      </w:r>
    </w:p>
    <w:p w14:paraId="4E668746" w14:textId="3695E649" w:rsidR="00E87BAC" w:rsidRPr="00E87BAC" w:rsidRDefault="00E87BAC" w:rsidP="005F3AEF">
      <w:pPr>
        <w:pStyle w:val="ListeParagraf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Amaç</w:t>
      </w:r>
      <w:r w:rsidR="005F3A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124CF1" w14:textId="055AA3C6" w:rsidR="00197706" w:rsidRDefault="00197706" w:rsidP="005F3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073">
        <w:rPr>
          <w:rFonts w:ascii="Times New Roman" w:hAnsi="Times New Roman" w:cs="Times New Roman"/>
          <w:color w:val="000000"/>
          <w:sz w:val="24"/>
          <w:szCs w:val="24"/>
        </w:rPr>
        <w:t xml:space="preserve">Bu kılavuzun amacı, </w:t>
      </w:r>
      <w:proofErr w:type="spellStart"/>
      <w:r w:rsidR="00B3495F" w:rsidRPr="00923073">
        <w:rPr>
          <w:rFonts w:ascii="Times New Roman" w:hAnsi="Times New Roman" w:cs="Times New Roman"/>
          <w:color w:val="000000"/>
          <w:sz w:val="24"/>
          <w:szCs w:val="24"/>
        </w:rPr>
        <w:t>farmakovijilans</w:t>
      </w:r>
      <w:proofErr w:type="spellEnd"/>
      <w:r w:rsidR="00B3495F" w:rsidRPr="00923073">
        <w:rPr>
          <w:rFonts w:ascii="Times New Roman" w:hAnsi="Times New Roman" w:cs="Times New Roman"/>
          <w:color w:val="000000"/>
          <w:sz w:val="24"/>
          <w:szCs w:val="24"/>
        </w:rPr>
        <w:t xml:space="preserve"> faaliyetleri</w:t>
      </w:r>
      <w:r w:rsidRPr="00923073">
        <w:rPr>
          <w:rFonts w:ascii="Times New Roman" w:hAnsi="Times New Roman" w:cs="Times New Roman"/>
          <w:color w:val="000000"/>
          <w:sz w:val="24"/>
          <w:szCs w:val="24"/>
        </w:rPr>
        <w:t>ndeki güven uygulamaları hakkında yapılacak iş ve işlemlerin usul ve esaslarını belirlemektir.</w:t>
      </w:r>
    </w:p>
    <w:p w14:paraId="0149A253" w14:textId="77777777" w:rsidR="005F3AEF" w:rsidRDefault="005F3AEF" w:rsidP="005F3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F69108" w14:textId="64424AAA" w:rsidR="00E87BAC" w:rsidRPr="002F6AAE" w:rsidRDefault="005F3AEF" w:rsidP="005F3AEF">
      <w:pPr>
        <w:pStyle w:val="ListeParagraf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Dayanak</w:t>
      </w:r>
    </w:p>
    <w:p w14:paraId="0701A0E8" w14:textId="13CD972F" w:rsidR="005F3AEF" w:rsidRDefault="00923073" w:rsidP="005F3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BAC">
        <w:rPr>
          <w:rFonts w:ascii="Times New Roman" w:hAnsi="Times New Roman" w:cs="Times New Roman"/>
          <w:color w:val="000000"/>
          <w:sz w:val="24"/>
          <w:szCs w:val="24"/>
        </w:rPr>
        <w:t>Bu kılavuz,</w:t>
      </w:r>
      <w:r w:rsidR="002F6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F11">
        <w:rPr>
          <w:rFonts w:ascii="Times New Roman" w:hAnsi="Times New Roman" w:cs="Times New Roman"/>
          <w:color w:val="000000"/>
          <w:sz w:val="24"/>
          <w:szCs w:val="24"/>
        </w:rPr>
        <w:t xml:space="preserve">15.04.2014 </w:t>
      </w:r>
      <w:r w:rsidR="002F6AA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793F11" w:rsidRPr="00793F11">
        <w:rPr>
          <w:rFonts w:ascii="Times New Roman" w:hAnsi="Times New Roman" w:cs="Times New Roman"/>
          <w:color w:val="000000"/>
          <w:sz w:val="24"/>
          <w:szCs w:val="24"/>
        </w:rPr>
        <w:t xml:space="preserve">arih ve 28973 sayılı </w:t>
      </w:r>
      <w:r w:rsidRPr="00793F11">
        <w:rPr>
          <w:rFonts w:ascii="Times New Roman" w:hAnsi="Times New Roman" w:cs="Times New Roman"/>
          <w:color w:val="000000"/>
          <w:sz w:val="24"/>
          <w:szCs w:val="24"/>
        </w:rPr>
        <w:t xml:space="preserve">Resmî </w:t>
      </w:r>
      <w:proofErr w:type="spellStart"/>
      <w:r w:rsidRPr="00793F11">
        <w:rPr>
          <w:rFonts w:ascii="Times New Roman" w:hAnsi="Times New Roman" w:cs="Times New Roman"/>
          <w:color w:val="000000"/>
          <w:sz w:val="24"/>
          <w:szCs w:val="24"/>
        </w:rPr>
        <w:t>Gazete</w:t>
      </w:r>
      <w:r w:rsidR="002F6AAE">
        <w:rPr>
          <w:rFonts w:ascii="Times New Roman" w:hAnsi="Times New Roman" w:cs="Times New Roman"/>
          <w:color w:val="000000"/>
          <w:sz w:val="24"/>
          <w:szCs w:val="24"/>
        </w:rPr>
        <w:t>’de</w:t>
      </w:r>
      <w:proofErr w:type="spellEnd"/>
      <w:r w:rsidR="002F6AAE">
        <w:rPr>
          <w:rFonts w:ascii="Times New Roman" w:hAnsi="Times New Roman" w:cs="Times New Roman"/>
          <w:color w:val="000000"/>
          <w:sz w:val="24"/>
          <w:szCs w:val="24"/>
        </w:rPr>
        <w:t xml:space="preserve"> yayın</w:t>
      </w:r>
      <w:r w:rsidR="00793F11" w:rsidRPr="00793F11">
        <w:rPr>
          <w:rFonts w:ascii="Times New Roman" w:hAnsi="Times New Roman" w:cs="Times New Roman"/>
          <w:color w:val="000000"/>
          <w:sz w:val="24"/>
          <w:szCs w:val="24"/>
        </w:rPr>
        <w:t>lanarak yürürlüğe giren</w:t>
      </w:r>
      <w:r w:rsidRPr="00793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İlaçların Güvenliliği Hakkında</w:t>
      </w:r>
      <w:r w:rsidR="002F6AAE">
        <w:rPr>
          <w:rFonts w:ascii="Times New Roman" w:hAnsi="Times New Roman" w:cs="Times New Roman"/>
          <w:color w:val="000000"/>
          <w:sz w:val="24"/>
          <w:szCs w:val="24"/>
        </w:rPr>
        <w:t xml:space="preserve"> Yönetmelik’in 23 üncü maddesine, 21.</w:t>
      </w:r>
      <w:r w:rsidR="003B0C2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F6AAE">
        <w:rPr>
          <w:rFonts w:ascii="Times New Roman" w:hAnsi="Times New Roman" w:cs="Times New Roman"/>
          <w:color w:val="000000"/>
          <w:sz w:val="24"/>
          <w:szCs w:val="24"/>
        </w:rPr>
        <w:t xml:space="preserve">7.2022 tarih ve </w:t>
      </w:r>
      <w:r w:rsidR="002F6AAE" w:rsidRPr="00793F11">
        <w:rPr>
          <w:rFonts w:ascii="Times New Roman" w:hAnsi="Times New Roman" w:cs="Times New Roman"/>
          <w:color w:val="000000"/>
          <w:sz w:val="24"/>
          <w:szCs w:val="24"/>
        </w:rPr>
        <w:t>31899</w:t>
      </w:r>
      <w:r w:rsidR="002F6AAE">
        <w:rPr>
          <w:rFonts w:ascii="Times New Roman" w:hAnsi="Times New Roman" w:cs="Times New Roman"/>
          <w:color w:val="000000"/>
          <w:sz w:val="24"/>
          <w:szCs w:val="24"/>
        </w:rPr>
        <w:t xml:space="preserve"> sayılı Resmi </w:t>
      </w:r>
      <w:proofErr w:type="spellStart"/>
      <w:r w:rsidR="002F6AAE">
        <w:rPr>
          <w:rFonts w:ascii="Times New Roman" w:hAnsi="Times New Roman" w:cs="Times New Roman"/>
          <w:color w:val="000000"/>
          <w:sz w:val="24"/>
          <w:szCs w:val="24"/>
        </w:rPr>
        <w:t>Gazete’de</w:t>
      </w:r>
      <w:proofErr w:type="spellEnd"/>
      <w:r w:rsidR="002F6AAE">
        <w:rPr>
          <w:rFonts w:ascii="Times New Roman" w:hAnsi="Times New Roman" w:cs="Times New Roman"/>
          <w:color w:val="000000"/>
          <w:sz w:val="24"/>
          <w:szCs w:val="24"/>
        </w:rPr>
        <w:t xml:space="preserve"> yayınlanan</w:t>
      </w:r>
      <w:r w:rsidR="002F6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AAE">
        <w:rPr>
          <w:rFonts w:ascii="Times New Roman" w:hAnsi="Times New Roman" w:cs="Times New Roman"/>
          <w:color w:val="000000"/>
          <w:sz w:val="24"/>
          <w:szCs w:val="24"/>
        </w:rPr>
        <w:t>İlaçların Güvenliliği Hakkında Yönetmelikte Değişiklik Yapılmasına Dair Yönetmelik’in sekizinci maddesi ile eklenen fıkraya dayanılarak hazırlanmıştır.</w:t>
      </w:r>
    </w:p>
    <w:p w14:paraId="21CBFBB3" w14:textId="2983B4C1" w:rsidR="005F3AEF" w:rsidRDefault="005F3AEF" w:rsidP="005F3A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D06400" w14:textId="05F4F5E4" w:rsidR="003B0C2C" w:rsidRPr="003B0C2C" w:rsidRDefault="005F3AEF" w:rsidP="003B0C2C">
      <w:pPr>
        <w:pStyle w:val="ListeParagraf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38ED">
        <w:rPr>
          <w:rFonts w:ascii="Times New Roman" w:hAnsi="Times New Roman" w:cs="Times New Roman"/>
          <w:b/>
          <w:color w:val="000000"/>
          <w:sz w:val="24"/>
          <w:szCs w:val="24"/>
        </w:rPr>
        <w:t>Kapsam</w:t>
      </w:r>
    </w:p>
    <w:p w14:paraId="7BA6A79B" w14:textId="127E56B0" w:rsidR="005F3AEF" w:rsidRDefault="005F3AEF" w:rsidP="005F3AEF">
      <w:pPr>
        <w:pStyle w:val="ListeParagra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ICH (Uluslararası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Harmonizasyon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Konseyi) kurucu </w:t>
      </w:r>
      <w:r w:rsidR="002438ED">
        <w:rPr>
          <w:rFonts w:ascii="Times New Roman" w:hAnsi="Times New Roman" w:cs="Times New Roman"/>
          <w:color w:val="000000"/>
          <w:sz w:val="24"/>
          <w:szCs w:val="24"/>
        </w:rPr>
        <w:t xml:space="preserve">veya daimi üyesi </w:t>
      </w:r>
      <w:r>
        <w:rPr>
          <w:rFonts w:ascii="Times New Roman" w:hAnsi="Times New Roman" w:cs="Times New Roman"/>
          <w:color w:val="000000"/>
          <w:sz w:val="24"/>
          <w:szCs w:val="24"/>
        </w:rPr>
        <w:t>yetkili otoriteleri, Avustralya U</w:t>
      </w:r>
      <w:r w:rsidR="003B0C2C">
        <w:rPr>
          <w:rFonts w:ascii="Times New Roman" w:hAnsi="Times New Roman" w:cs="Times New Roman"/>
          <w:color w:val="000000"/>
          <w:sz w:val="24"/>
          <w:szCs w:val="24"/>
        </w:rPr>
        <w:t xml:space="preserve">lusal İlaç Otoritesi (TGA),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İngiltere Ulusal İlaç Otoritesi (MHRA) </w:t>
      </w:r>
      <w:r w:rsidR="00B40DDF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3B0C2C">
        <w:rPr>
          <w:rFonts w:ascii="Times New Roman" w:hAnsi="Times New Roman" w:cs="Times New Roman"/>
          <w:color w:val="000000"/>
          <w:sz w:val="24"/>
          <w:szCs w:val="24"/>
        </w:rPr>
        <w:t>ya</w:t>
      </w:r>
      <w:r w:rsidR="00B40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0DDF" w:rsidRPr="00B40DDF">
        <w:rPr>
          <w:rFonts w:ascii="Times New Roman" w:hAnsi="Times New Roman" w:cs="Times New Roman"/>
          <w:color w:val="000000"/>
          <w:sz w:val="24"/>
          <w:szCs w:val="24"/>
        </w:rPr>
        <w:t>Dünya Sağlık</w:t>
      </w:r>
      <w:r w:rsidR="00B40DDF">
        <w:rPr>
          <w:rFonts w:ascii="Times New Roman" w:hAnsi="Times New Roman" w:cs="Times New Roman"/>
          <w:color w:val="000000"/>
          <w:sz w:val="24"/>
          <w:szCs w:val="24"/>
        </w:rPr>
        <w:t xml:space="preserve"> Örgütü </w:t>
      </w:r>
      <w:proofErr w:type="spellStart"/>
      <w:r w:rsidR="00B40DDF">
        <w:rPr>
          <w:rFonts w:ascii="Times New Roman" w:hAnsi="Times New Roman" w:cs="Times New Roman"/>
          <w:color w:val="000000"/>
          <w:sz w:val="24"/>
          <w:szCs w:val="24"/>
        </w:rPr>
        <w:t>Uppsala</w:t>
      </w:r>
      <w:proofErr w:type="spellEnd"/>
      <w:r w:rsidR="00B40DDF">
        <w:rPr>
          <w:rFonts w:ascii="Times New Roman" w:hAnsi="Times New Roman" w:cs="Times New Roman"/>
          <w:color w:val="000000"/>
          <w:sz w:val="24"/>
          <w:szCs w:val="24"/>
        </w:rPr>
        <w:t xml:space="preserve"> İzleme Merkezi tarafından yapılan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farmakovijilansa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yönelik değerlendirmelerin </w:t>
      </w:r>
      <w:r w:rsidR="002438ED">
        <w:rPr>
          <w:rFonts w:ascii="Times New Roman" w:hAnsi="Times New Roman" w:cs="Times New Roman"/>
          <w:color w:val="000000"/>
          <w:sz w:val="24"/>
          <w:szCs w:val="24"/>
        </w:rPr>
        <w:t>Kurum tarafından yapılacak iş ve işlemlere rehberlik etmesi açısından kullanılmasını kapsar.</w:t>
      </w:r>
    </w:p>
    <w:p w14:paraId="51D4193A" w14:textId="4EEC72B5" w:rsidR="005F3AEF" w:rsidRPr="00923073" w:rsidRDefault="005F3AEF" w:rsidP="002438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0A14E" w14:textId="2A997848" w:rsidR="0046042F" w:rsidRDefault="00C3386F" w:rsidP="005F3AEF">
      <w:pPr>
        <w:pStyle w:val="ListeParagraf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Toc112412337"/>
      <w:bookmarkStart w:id="4" w:name="_Toc112412455"/>
      <w:r w:rsidRPr="002F6AAE">
        <w:rPr>
          <w:rFonts w:ascii="Times New Roman" w:hAnsi="Times New Roman" w:cs="Times New Roman"/>
          <w:b/>
          <w:sz w:val="24"/>
          <w:szCs w:val="24"/>
        </w:rPr>
        <w:t>T</w:t>
      </w:r>
      <w:bookmarkEnd w:id="3"/>
      <w:bookmarkEnd w:id="4"/>
      <w:r w:rsidR="002F6AAE" w:rsidRPr="002F6AAE">
        <w:rPr>
          <w:rFonts w:ascii="Times New Roman" w:hAnsi="Times New Roman" w:cs="Times New Roman"/>
          <w:b/>
          <w:sz w:val="24"/>
          <w:szCs w:val="24"/>
        </w:rPr>
        <w:t>anımlar</w:t>
      </w:r>
    </w:p>
    <w:p w14:paraId="2A8DD2C1" w14:textId="77777777" w:rsidR="002F6AAE" w:rsidRPr="002F6AAE" w:rsidRDefault="002F6AAE" w:rsidP="002438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AAE">
        <w:rPr>
          <w:rFonts w:ascii="Times New Roman" w:hAnsi="Times New Roman" w:cs="Times New Roman"/>
          <w:color w:val="000000"/>
          <w:sz w:val="24"/>
          <w:szCs w:val="24"/>
        </w:rPr>
        <w:t>İyi Farmakovijilans Uygulamaları Kılavuzlarında ve ilgili mevzuatta geçen tanımlar geçerlidir.</w:t>
      </w:r>
    </w:p>
    <w:p w14:paraId="46A4D1DD" w14:textId="3E808B81" w:rsidR="00017F00" w:rsidRDefault="004A4189" w:rsidP="002438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073">
        <w:rPr>
          <w:rFonts w:ascii="Times New Roman" w:hAnsi="Times New Roman" w:cs="Times New Roman"/>
          <w:color w:val="000000"/>
          <w:sz w:val="24"/>
          <w:szCs w:val="24"/>
        </w:rPr>
        <w:t>Güven: Belirli bir yetki alanı içinde yer alan düzenleyici otorite tarafından, kendi kararını verirken başka bir düzenleyici otorite veya güvenilir bir kurum tarafından gerçekleştirilmiş olan değerlendirmeleri vb. güvenilir bil</w:t>
      </w:r>
      <w:r w:rsidR="002438ED">
        <w:rPr>
          <w:rFonts w:ascii="Times New Roman" w:hAnsi="Times New Roman" w:cs="Times New Roman"/>
          <w:color w:val="000000"/>
          <w:sz w:val="24"/>
          <w:szCs w:val="24"/>
        </w:rPr>
        <w:t>gileri göz önünde bulundurmasını</w:t>
      </w:r>
      <w:r w:rsidRPr="00923073">
        <w:rPr>
          <w:rFonts w:ascii="Times New Roman" w:hAnsi="Times New Roman" w:cs="Times New Roman"/>
          <w:color w:val="000000"/>
          <w:sz w:val="24"/>
          <w:szCs w:val="24"/>
        </w:rPr>
        <w:t xml:space="preserve"> veya bu gibi değerlendirmelere büyük ölçü</w:t>
      </w:r>
      <w:r w:rsidR="002F6AAE">
        <w:rPr>
          <w:rFonts w:ascii="Times New Roman" w:hAnsi="Times New Roman" w:cs="Times New Roman"/>
          <w:color w:val="000000"/>
          <w:sz w:val="24"/>
          <w:szCs w:val="24"/>
        </w:rPr>
        <w:t>de ağırlık v</w:t>
      </w:r>
      <w:r w:rsidR="002438ED">
        <w:rPr>
          <w:rFonts w:ascii="Times New Roman" w:hAnsi="Times New Roman" w:cs="Times New Roman"/>
          <w:color w:val="000000"/>
          <w:sz w:val="24"/>
          <w:szCs w:val="24"/>
        </w:rPr>
        <w:t>ermesini,</w:t>
      </w:r>
    </w:p>
    <w:p w14:paraId="74E8C257" w14:textId="4B4E7E64" w:rsidR="00923073" w:rsidRDefault="00923073" w:rsidP="002438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Kurum: </w:t>
      </w:r>
      <w:r w:rsidRPr="00923073">
        <w:rPr>
          <w:rFonts w:ascii="Times New Roman" w:hAnsi="Times New Roman" w:cs="Times New Roman"/>
          <w:color w:val="000000"/>
          <w:sz w:val="24"/>
          <w:szCs w:val="24"/>
        </w:rPr>
        <w:t>Türkiye İlaç ve Tıbbi Cihaz Kurumu</w:t>
      </w:r>
      <w:r w:rsidR="003B0C2C">
        <w:rPr>
          <w:rFonts w:ascii="Times New Roman" w:hAnsi="Times New Roman" w:cs="Times New Roman"/>
          <w:color w:val="000000"/>
          <w:sz w:val="24"/>
          <w:szCs w:val="24"/>
        </w:rPr>
        <w:t>nu</w:t>
      </w:r>
    </w:p>
    <w:p w14:paraId="48C06DB6" w14:textId="2BD46CB5" w:rsidR="0003541B" w:rsidRDefault="002438ED" w:rsidP="003B0C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ifade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eder</w:t>
      </w:r>
    </w:p>
    <w:p w14:paraId="34CD82D4" w14:textId="77777777" w:rsidR="0003541B" w:rsidRDefault="0003541B" w:rsidP="002438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54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BÖLÜM II </w:t>
      </w:r>
    </w:p>
    <w:p w14:paraId="490A5AD1" w14:textId="5CDCEE2F" w:rsidR="005F3AEF" w:rsidRDefault="0003541B" w:rsidP="003B0C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3541B">
        <w:rPr>
          <w:rFonts w:ascii="Times New Roman" w:hAnsi="Times New Roman" w:cs="Times New Roman"/>
          <w:b/>
          <w:color w:val="000000"/>
          <w:sz w:val="24"/>
          <w:szCs w:val="24"/>
        </w:rPr>
        <w:t>Farmakovijilansta</w:t>
      </w:r>
      <w:proofErr w:type="spellEnd"/>
      <w:r w:rsidRPr="000354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güven</w:t>
      </w:r>
      <w:r w:rsidR="005F3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uygulamaları</w:t>
      </w:r>
    </w:p>
    <w:p w14:paraId="22AA56F2" w14:textId="77777777" w:rsidR="003B0C2C" w:rsidRDefault="003B0C2C" w:rsidP="003B0C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1F7820A" w14:textId="4911C0B8" w:rsidR="00793F11" w:rsidRDefault="005F3AEF" w:rsidP="003B0C2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2.1.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Farmakovijilansta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güven</w:t>
      </w:r>
    </w:p>
    <w:p w14:paraId="5F33501E" w14:textId="61A92BE2" w:rsidR="00CE7C35" w:rsidRDefault="00944B7E" w:rsidP="003B0C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B7E">
        <w:rPr>
          <w:rFonts w:ascii="Times New Roman" w:hAnsi="Times New Roman" w:cs="Times New Roman"/>
          <w:color w:val="000000"/>
          <w:sz w:val="24"/>
          <w:szCs w:val="24"/>
        </w:rPr>
        <w:t xml:space="preserve">Kurum, ilaç güvenliliği ile ilgili kendi kararlarını alırken, karşılaştırılabilir standartlara sahip diğer ilaç otoriteleri veya bölgesel veya uluslararası kuruluşlar tarafından yapılan değerlendirmeleri güven kapsamında </w:t>
      </w:r>
      <w:proofErr w:type="spellStart"/>
      <w:r w:rsidRPr="00944B7E">
        <w:rPr>
          <w:rFonts w:ascii="Times New Roman" w:hAnsi="Times New Roman" w:cs="Times New Roman"/>
          <w:color w:val="000000"/>
          <w:sz w:val="24"/>
          <w:szCs w:val="24"/>
        </w:rPr>
        <w:t>dikkâte</w:t>
      </w:r>
      <w:proofErr w:type="spellEnd"/>
      <w:r w:rsidRPr="00944B7E">
        <w:rPr>
          <w:rFonts w:ascii="Times New Roman" w:hAnsi="Times New Roman" w:cs="Times New Roman"/>
          <w:color w:val="000000"/>
          <w:sz w:val="24"/>
          <w:szCs w:val="24"/>
        </w:rPr>
        <w:t xml:space="preserve"> alabilir ve </w:t>
      </w:r>
      <w:r w:rsidR="003B0C2C">
        <w:rPr>
          <w:rFonts w:ascii="Times New Roman" w:hAnsi="Times New Roman" w:cs="Times New Roman"/>
          <w:color w:val="000000"/>
          <w:sz w:val="24"/>
          <w:szCs w:val="24"/>
        </w:rPr>
        <w:t>bilgi paylaşımında bulunabilir. Ancak, Kurum aldığı karar konusunda</w:t>
      </w:r>
      <w:r w:rsidR="003B0C2C" w:rsidRPr="003B0C2C">
        <w:rPr>
          <w:rFonts w:ascii="Times New Roman" w:hAnsi="Times New Roman" w:cs="Times New Roman"/>
          <w:color w:val="000000"/>
          <w:sz w:val="24"/>
          <w:szCs w:val="24"/>
        </w:rPr>
        <w:t xml:space="preserve"> bağımsız, sorumlu ve mesuldür.  </w:t>
      </w:r>
    </w:p>
    <w:p w14:paraId="32056A46" w14:textId="77777777" w:rsidR="003B0C2C" w:rsidRDefault="003B0C2C" w:rsidP="003B0C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9142E6" w14:textId="77777777" w:rsidR="003B0C2C" w:rsidRDefault="005F3AEF" w:rsidP="003B0C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C2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44B7E" w:rsidRPr="003B0C2C">
        <w:rPr>
          <w:rFonts w:ascii="Times New Roman" w:hAnsi="Times New Roman" w:cs="Times New Roman"/>
          <w:b/>
          <w:color w:val="000000"/>
          <w:sz w:val="24"/>
          <w:szCs w:val="24"/>
        </w:rPr>
        <w:t>.1.1. Süreç, araç ve yöntemlere güven</w:t>
      </w:r>
      <w:r w:rsidR="00B40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57D9F39" w14:textId="14CACBDC" w:rsidR="00CE7C35" w:rsidRDefault="00CE7C35" w:rsidP="003B0C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VigiFlow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CIOMS I formu, </w:t>
      </w:r>
      <w:r w:rsidR="00B40DDF">
        <w:rPr>
          <w:rFonts w:ascii="Times New Roman" w:hAnsi="Times New Roman" w:cs="Times New Roman"/>
          <w:color w:val="000000"/>
          <w:sz w:val="24"/>
          <w:szCs w:val="24"/>
        </w:rPr>
        <w:t>periyodik yarar/risk değerlendirme raporu, risk yönetim planı</w:t>
      </w:r>
      <w:r>
        <w:rPr>
          <w:rFonts w:ascii="Times New Roman" w:hAnsi="Times New Roman" w:cs="Times New Roman"/>
          <w:color w:val="000000"/>
          <w:sz w:val="24"/>
          <w:szCs w:val="24"/>
        </w:rPr>
        <w:t>, dokto</w:t>
      </w:r>
      <w:r w:rsidR="003B0C2C">
        <w:rPr>
          <w:rFonts w:ascii="Times New Roman" w:hAnsi="Times New Roman" w:cs="Times New Roman"/>
          <w:color w:val="000000"/>
          <w:sz w:val="24"/>
          <w:szCs w:val="24"/>
        </w:rPr>
        <w:t>r bilgilendirme mektupları gibi</w:t>
      </w:r>
    </w:p>
    <w:p w14:paraId="42FB74E3" w14:textId="77777777" w:rsidR="003B0C2C" w:rsidRPr="00CE7C35" w:rsidRDefault="003B0C2C" w:rsidP="003B0C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6D62AA" w14:textId="790F7930" w:rsidR="00CE7C35" w:rsidRPr="003B0C2C" w:rsidRDefault="005F3AEF" w:rsidP="003B0C2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0C2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44B7E" w:rsidRPr="003B0C2C">
        <w:rPr>
          <w:rFonts w:ascii="Times New Roman" w:hAnsi="Times New Roman" w:cs="Times New Roman"/>
          <w:b/>
          <w:color w:val="000000"/>
          <w:sz w:val="24"/>
          <w:szCs w:val="24"/>
        </w:rPr>
        <w:t>.1.2.</w:t>
      </w:r>
      <w:r w:rsidR="00CE7C35" w:rsidRPr="003B0C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Beşeri tıbbi ü</w:t>
      </w:r>
      <w:r w:rsidR="00CE7C35" w:rsidRPr="003B0C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rüne özel </w:t>
      </w:r>
      <w:r w:rsidR="003B0C2C">
        <w:rPr>
          <w:rFonts w:ascii="Times New Roman" w:hAnsi="Times New Roman" w:cs="Times New Roman"/>
          <w:b/>
          <w:color w:val="000000"/>
          <w:sz w:val="24"/>
          <w:szCs w:val="24"/>
        </w:rPr>
        <w:t>düzenleyici faaliyetlere güven</w:t>
      </w:r>
    </w:p>
    <w:p w14:paraId="21287501" w14:textId="43C00A9F" w:rsidR="00E87BAC" w:rsidRDefault="00E87BAC" w:rsidP="003B0C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BAC">
        <w:rPr>
          <w:rFonts w:ascii="Times New Roman" w:hAnsi="Times New Roman" w:cs="Times New Roman"/>
          <w:color w:val="000000"/>
          <w:sz w:val="24"/>
          <w:szCs w:val="24"/>
        </w:rPr>
        <w:t xml:space="preserve">Bu güven düzeyi, ilgili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tıbbi </w:t>
      </w:r>
      <w:r w:rsidRPr="00E87BAC">
        <w:rPr>
          <w:rFonts w:ascii="Times New Roman" w:hAnsi="Times New Roman" w:cs="Times New Roman"/>
          <w:color w:val="000000"/>
          <w:sz w:val="24"/>
          <w:szCs w:val="24"/>
        </w:rPr>
        <w:t xml:space="preserve">ürünlerin bileşim, </w:t>
      </w:r>
      <w:proofErr w:type="spellStart"/>
      <w:r w:rsidRPr="00E87BAC">
        <w:rPr>
          <w:rFonts w:ascii="Times New Roman" w:hAnsi="Times New Roman" w:cs="Times New Roman"/>
          <w:color w:val="000000"/>
          <w:sz w:val="24"/>
          <w:szCs w:val="24"/>
        </w:rPr>
        <w:t>endikasyonlar</w:t>
      </w:r>
      <w:proofErr w:type="spellEnd"/>
      <w:r w:rsidRPr="00E87BAC">
        <w:rPr>
          <w:rFonts w:ascii="Times New Roman" w:hAnsi="Times New Roman" w:cs="Times New Roman"/>
          <w:color w:val="000000"/>
          <w:sz w:val="24"/>
          <w:szCs w:val="24"/>
        </w:rPr>
        <w:t>, kullanım koşulları vb. açısından aynı veya yeter</w:t>
      </w:r>
      <w:r>
        <w:rPr>
          <w:rFonts w:ascii="Times New Roman" w:hAnsi="Times New Roman" w:cs="Times New Roman"/>
          <w:color w:val="000000"/>
          <w:sz w:val="24"/>
          <w:szCs w:val="24"/>
        </w:rPr>
        <w:t>ince benzer olmasını gerektirmektedir.</w:t>
      </w:r>
    </w:p>
    <w:p w14:paraId="39644DA7" w14:textId="77777777" w:rsidR="003B0C2C" w:rsidRPr="00CE7C35" w:rsidRDefault="003B0C2C" w:rsidP="003B0C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2A61D4" w14:textId="77777777" w:rsidR="003B0C2C" w:rsidRDefault="003B0C2C" w:rsidP="003B0C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C2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44B7E" w:rsidRPr="003B0C2C">
        <w:rPr>
          <w:rFonts w:ascii="Times New Roman" w:hAnsi="Times New Roman" w:cs="Times New Roman"/>
          <w:b/>
          <w:color w:val="000000"/>
          <w:sz w:val="24"/>
          <w:szCs w:val="24"/>
        </w:rPr>
        <w:t>.1.2.1.</w:t>
      </w:r>
      <w:r w:rsidR="00CE7C35" w:rsidRPr="003B0C2C">
        <w:rPr>
          <w:rFonts w:ascii="Times New Roman" w:hAnsi="Times New Roman" w:cs="Times New Roman"/>
          <w:b/>
          <w:color w:val="000000"/>
          <w:sz w:val="24"/>
          <w:szCs w:val="24"/>
        </w:rPr>
        <w:t>Onaylanan ürün bilgilerine güven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68AAD6" w14:textId="0827DE84" w:rsidR="00944B7E" w:rsidRPr="00CE7C35" w:rsidRDefault="00B40DDF" w:rsidP="003B0C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944B7E">
        <w:rPr>
          <w:rFonts w:ascii="Times New Roman" w:hAnsi="Times New Roman" w:cs="Times New Roman"/>
          <w:color w:val="000000"/>
          <w:sz w:val="24"/>
          <w:szCs w:val="24"/>
        </w:rPr>
        <w:t xml:space="preserve">isk yönetim planı, risk </w:t>
      </w:r>
      <w:proofErr w:type="spellStart"/>
      <w:r w:rsidR="00944B7E">
        <w:rPr>
          <w:rFonts w:ascii="Times New Roman" w:hAnsi="Times New Roman" w:cs="Times New Roman"/>
          <w:color w:val="000000"/>
          <w:sz w:val="24"/>
          <w:szCs w:val="24"/>
        </w:rPr>
        <w:t>minimizasyon</w:t>
      </w:r>
      <w:proofErr w:type="spellEnd"/>
      <w:r w:rsidR="00944B7E">
        <w:rPr>
          <w:rFonts w:ascii="Times New Roman" w:hAnsi="Times New Roman" w:cs="Times New Roman"/>
          <w:color w:val="000000"/>
          <w:sz w:val="24"/>
          <w:szCs w:val="24"/>
        </w:rPr>
        <w:t xml:space="preserve"> materyalleri, sağlık mesleği mensuplarıyla doğrudan iletişim materyalleri, kısa ürün bil</w:t>
      </w:r>
      <w:r w:rsidR="003B0C2C">
        <w:rPr>
          <w:rFonts w:ascii="Times New Roman" w:hAnsi="Times New Roman" w:cs="Times New Roman"/>
          <w:color w:val="000000"/>
          <w:sz w:val="24"/>
          <w:szCs w:val="24"/>
        </w:rPr>
        <w:t>gisi, kullanma talimatına güven</w:t>
      </w:r>
    </w:p>
    <w:p w14:paraId="791A3E34" w14:textId="0E5240D8" w:rsidR="00923073" w:rsidRPr="000D48E2" w:rsidRDefault="003B0C2C" w:rsidP="000D48E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0C2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44B7E" w:rsidRPr="003B0C2C">
        <w:rPr>
          <w:rFonts w:ascii="Times New Roman" w:hAnsi="Times New Roman" w:cs="Times New Roman"/>
          <w:b/>
          <w:color w:val="000000"/>
          <w:sz w:val="24"/>
          <w:szCs w:val="24"/>
        </w:rPr>
        <w:t>.1.2.2.Ruhsatlandırma sonrası</w:t>
      </w:r>
      <w:r w:rsidR="00CE7C35" w:rsidRPr="003B0C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güven</w:t>
      </w:r>
      <w:r w:rsidR="00944B7E" w:rsidRPr="003B0C2C">
        <w:rPr>
          <w:rFonts w:ascii="Times New Roman" w:hAnsi="Times New Roman" w:cs="Times New Roman"/>
          <w:b/>
          <w:color w:val="000000"/>
          <w:sz w:val="24"/>
          <w:szCs w:val="24"/>
        </w:rPr>
        <w:t>li</w:t>
      </w:r>
      <w:r w:rsidR="00CE7C35" w:rsidRPr="003B0C2C">
        <w:rPr>
          <w:rFonts w:ascii="Times New Roman" w:hAnsi="Times New Roman" w:cs="Times New Roman"/>
          <w:b/>
          <w:color w:val="000000"/>
          <w:sz w:val="24"/>
          <w:szCs w:val="24"/>
        </w:rPr>
        <w:t>lik çalışması sonuçlarına</w:t>
      </w:r>
      <w:r w:rsidR="00B72507" w:rsidRPr="003B0C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ve sinyal değerlendirmesine</w:t>
      </w:r>
      <w:r w:rsidR="00CE7C35" w:rsidRPr="003B0C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güven</w:t>
      </w:r>
      <w:bookmarkStart w:id="5" w:name="_GoBack"/>
      <w:bookmarkEnd w:id="5"/>
    </w:p>
    <w:sectPr w:rsidR="00923073" w:rsidRPr="000D48E2" w:rsidSect="003B0C2C">
      <w:footerReference w:type="default" r:id="rId8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509CC" w14:textId="77777777" w:rsidR="009B77DB" w:rsidRDefault="009B77DB" w:rsidP="00C351E8">
      <w:pPr>
        <w:spacing w:after="0" w:line="240" w:lineRule="auto"/>
      </w:pPr>
      <w:r>
        <w:separator/>
      </w:r>
    </w:p>
  </w:endnote>
  <w:endnote w:type="continuationSeparator" w:id="0">
    <w:p w14:paraId="059C9DDF" w14:textId="77777777" w:rsidR="009B77DB" w:rsidRDefault="009B77DB" w:rsidP="00C3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5E97F" w14:textId="54547A14" w:rsidR="00C3386F" w:rsidRDefault="00C3386F" w:rsidP="0046042F">
    <w:pPr>
      <w:pStyle w:val="AltBilgi"/>
      <w:tabs>
        <w:tab w:val="clear" w:pos="4536"/>
        <w:tab w:val="clear" w:pos="9072"/>
        <w:tab w:val="left" w:pos="1020"/>
      </w:tabs>
    </w:pPr>
    <w:r>
      <w:tab/>
    </w:r>
  </w:p>
  <w:p w14:paraId="0BA67BB6" w14:textId="70D57C6F" w:rsidR="00C3386F" w:rsidRDefault="00C3386F">
    <w:pPr>
      <w:pStyle w:val="AltBilgi"/>
    </w:pPr>
  </w:p>
  <w:p w14:paraId="05A89E16" w14:textId="77777777" w:rsidR="00C3386F" w:rsidRDefault="00C338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BEB69" w14:textId="77777777" w:rsidR="009B77DB" w:rsidRDefault="009B77DB" w:rsidP="00C351E8">
      <w:pPr>
        <w:spacing w:after="0" w:line="240" w:lineRule="auto"/>
      </w:pPr>
      <w:r>
        <w:separator/>
      </w:r>
    </w:p>
  </w:footnote>
  <w:footnote w:type="continuationSeparator" w:id="0">
    <w:p w14:paraId="19B7F5DC" w14:textId="77777777" w:rsidR="009B77DB" w:rsidRDefault="009B77DB" w:rsidP="00C3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97399"/>
    <w:multiLevelType w:val="hybridMultilevel"/>
    <w:tmpl w:val="ECB6C90E"/>
    <w:lvl w:ilvl="0" w:tplc="041F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D27F6"/>
    <w:multiLevelType w:val="hybridMultilevel"/>
    <w:tmpl w:val="FDAC4C24"/>
    <w:lvl w:ilvl="0" w:tplc="D53636C2">
      <w:start w:val="2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DAD4B54"/>
    <w:multiLevelType w:val="hybridMultilevel"/>
    <w:tmpl w:val="0F4A0BD8"/>
    <w:lvl w:ilvl="0" w:tplc="D822447E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42" w:hanging="360"/>
      </w:pPr>
    </w:lvl>
    <w:lvl w:ilvl="2" w:tplc="041F001B" w:tentative="1">
      <w:start w:val="1"/>
      <w:numFmt w:val="lowerRoman"/>
      <w:lvlText w:val="%3."/>
      <w:lvlJc w:val="right"/>
      <w:pPr>
        <w:ind w:left="2662" w:hanging="180"/>
      </w:pPr>
    </w:lvl>
    <w:lvl w:ilvl="3" w:tplc="041F000F" w:tentative="1">
      <w:start w:val="1"/>
      <w:numFmt w:val="decimal"/>
      <w:lvlText w:val="%4."/>
      <w:lvlJc w:val="left"/>
      <w:pPr>
        <w:ind w:left="3382" w:hanging="360"/>
      </w:pPr>
    </w:lvl>
    <w:lvl w:ilvl="4" w:tplc="041F0019" w:tentative="1">
      <w:start w:val="1"/>
      <w:numFmt w:val="lowerLetter"/>
      <w:lvlText w:val="%5."/>
      <w:lvlJc w:val="left"/>
      <w:pPr>
        <w:ind w:left="4102" w:hanging="360"/>
      </w:pPr>
    </w:lvl>
    <w:lvl w:ilvl="5" w:tplc="041F001B" w:tentative="1">
      <w:start w:val="1"/>
      <w:numFmt w:val="lowerRoman"/>
      <w:lvlText w:val="%6."/>
      <w:lvlJc w:val="right"/>
      <w:pPr>
        <w:ind w:left="4822" w:hanging="180"/>
      </w:pPr>
    </w:lvl>
    <w:lvl w:ilvl="6" w:tplc="041F000F" w:tentative="1">
      <w:start w:val="1"/>
      <w:numFmt w:val="decimal"/>
      <w:lvlText w:val="%7."/>
      <w:lvlJc w:val="left"/>
      <w:pPr>
        <w:ind w:left="5542" w:hanging="360"/>
      </w:pPr>
    </w:lvl>
    <w:lvl w:ilvl="7" w:tplc="041F0019" w:tentative="1">
      <w:start w:val="1"/>
      <w:numFmt w:val="lowerLetter"/>
      <w:lvlText w:val="%8."/>
      <w:lvlJc w:val="left"/>
      <w:pPr>
        <w:ind w:left="6262" w:hanging="360"/>
      </w:pPr>
    </w:lvl>
    <w:lvl w:ilvl="8" w:tplc="041F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55C40CBD"/>
    <w:multiLevelType w:val="multilevel"/>
    <w:tmpl w:val="E5467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C2A0C1F"/>
    <w:multiLevelType w:val="hybridMultilevel"/>
    <w:tmpl w:val="2F3EE27A"/>
    <w:lvl w:ilvl="0" w:tplc="AD1465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B8E6ECA"/>
    <w:multiLevelType w:val="hybridMultilevel"/>
    <w:tmpl w:val="0414F6B0"/>
    <w:lvl w:ilvl="0" w:tplc="61F8F81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C7F0679"/>
    <w:multiLevelType w:val="hybridMultilevel"/>
    <w:tmpl w:val="8A58B872"/>
    <w:lvl w:ilvl="0" w:tplc="2ADE09E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D577253"/>
    <w:multiLevelType w:val="hybridMultilevel"/>
    <w:tmpl w:val="0A12C2CC"/>
    <w:lvl w:ilvl="0" w:tplc="B55AB69C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8AD5576"/>
    <w:multiLevelType w:val="hybridMultilevel"/>
    <w:tmpl w:val="0B9A4EA8"/>
    <w:lvl w:ilvl="0" w:tplc="20A8179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8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0"/>
    <w:lvlOverride w:ilvl="0">
      <w:lvl w:ilvl="0" w:tplc="041F000F">
        <w:start w:val="1"/>
        <w:numFmt w:val="decimal"/>
        <w:lvlText w:val="%1."/>
        <w:lvlJc w:val="left"/>
        <w:pPr>
          <w:ind w:left="255" w:hanging="113"/>
        </w:pPr>
        <w:rPr>
          <w:rFonts w:hint="default"/>
        </w:rPr>
      </w:lvl>
    </w:lvlOverride>
    <w:lvlOverride w:ilvl="1">
      <w:lvl w:ilvl="1" w:tplc="041F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F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F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F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F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F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F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F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61"/>
    <w:rsid w:val="00017F00"/>
    <w:rsid w:val="0003541B"/>
    <w:rsid w:val="00060731"/>
    <w:rsid w:val="00070B77"/>
    <w:rsid w:val="00083D96"/>
    <w:rsid w:val="000A1708"/>
    <w:rsid w:val="000D32A2"/>
    <w:rsid w:val="000D48E2"/>
    <w:rsid w:val="000E39A3"/>
    <w:rsid w:val="00103C5C"/>
    <w:rsid w:val="001177B1"/>
    <w:rsid w:val="0016240B"/>
    <w:rsid w:val="00197706"/>
    <w:rsid w:val="001A4ACA"/>
    <w:rsid w:val="001E582B"/>
    <w:rsid w:val="001F2161"/>
    <w:rsid w:val="001F5CF9"/>
    <w:rsid w:val="002170B7"/>
    <w:rsid w:val="002224A6"/>
    <w:rsid w:val="002438ED"/>
    <w:rsid w:val="002452B5"/>
    <w:rsid w:val="00267866"/>
    <w:rsid w:val="002F6AAE"/>
    <w:rsid w:val="00355997"/>
    <w:rsid w:val="00375C6E"/>
    <w:rsid w:val="00376607"/>
    <w:rsid w:val="00392592"/>
    <w:rsid w:val="003A1520"/>
    <w:rsid w:val="003B0C2C"/>
    <w:rsid w:val="00400FDA"/>
    <w:rsid w:val="004527C7"/>
    <w:rsid w:val="0046042F"/>
    <w:rsid w:val="00471151"/>
    <w:rsid w:val="004712A3"/>
    <w:rsid w:val="004A4189"/>
    <w:rsid w:val="004B3F51"/>
    <w:rsid w:val="004C4826"/>
    <w:rsid w:val="004D2E10"/>
    <w:rsid w:val="00522CCE"/>
    <w:rsid w:val="00537DEA"/>
    <w:rsid w:val="005A0ADB"/>
    <w:rsid w:val="005D7A78"/>
    <w:rsid w:val="005F2311"/>
    <w:rsid w:val="005F373D"/>
    <w:rsid w:val="005F3AEF"/>
    <w:rsid w:val="00602259"/>
    <w:rsid w:val="006055EB"/>
    <w:rsid w:val="0060628D"/>
    <w:rsid w:val="00621993"/>
    <w:rsid w:val="006475EE"/>
    <w:rsid w:val="00650355"/>
    <w:rsid w:val="006B61A1"/>
    <w:rsid w:val="006C0565"/>
    <w:rsid w:val="00722EAE"/>
    <w:rsid w:val="00774C75"/>
    <w:rsid w:val="00793F11"/>
    <w:rsid w:val="007D147E"/>
    <w:rsid w:val="008328C6"/>
    <w:rsid w:val="008B6F78"/>
    <w:rsid w:val="008B75FC"/>
    <w:rsid w:val="008C418F"/>
    <w:rsid w:val="008F3052"/>
    <w:rsid w:val="00923073"/>
    <w:rsid w:val="00944B7E"/>
    <w:rsid w:val="00963027"/>
    <w:rsid w:val="009810C3"/>
    <w:rsid w:val="009B40E7"/>
    <w:rsid w:val="009B77DB"/>
    <w:rsid w:val="009C4EF6"/>
    <w:rsid w:val="009E7153"/>
    <w:rsid w:val="00AD5899"/>
    <w:rsid w:val="00B16995"/>
    <w:rsid w:val="00B21567"/>
    <w:rsid w:val="00B267E4"/>
    <w:rsid w:val="00B3495F"/>
    <w:rsid w:val="00B40DDF"/>
    <w:rsid w:val="00B72507"/>
    <w:rsid w:val="00BA4B78"/>
    <w:rsid w:val="00BF23B5"/>
    <w:rsid w:val="00BF6624"/>
    <w:rsid w:val="00C3386F"/>
    <w:rsid w:val="00C351E8"/>
    <w:rsid w:val="00C75CB7"/>
    <w:rsid w:val="00C80A56"/>
    <w:rsid w:val="00C81524"/>
    <w:rsid w:val="00CC5EB5"/>
    <w:rsid w:val="00CE7C35"/>
    <w:rsid w:val="00D71B8F"/>
    <w:rsid w:val="00D72E4E"/>
    <w:rsid w:val="00DB47B6"/>
    <w:rsid w:val="00DB706F"/>
    <w:rsid w:val="00DF7AA0"/>
    <w:rsid w:val="00E36408"/>
    <w:rsid w:val="00E54779"/>
    <w:rsid w:val="00E643C6"/>
    <w:rsid w:val="00E87BAC"/>
    <w:rsid w:val="00EB646E"/>
    <w:rsid w:val="00EE014F"/>
    <w:rsid w:val="00EE3D3A"/>
    <w:rsid w:val="00F101D8"/>
    <w:rsid w:val="00F73141"/>
    <w:rsid w:val="00FB5851"/>
    <w:rsid w:val="00FC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5181D"/>
  <w15:chartTrackingRefBased/>
  <w15:docId w15:val="{2A1DF81C-99FA-4709-9A04-1B76B58B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161"/>
  </w:style>
  <w:style w:type="paragraph" w:styleId="Balk1">
    <w:name w:val="heading 1"/>
    <w:basedOn w:val="Normal"/>
    <w:next w:val="Normal"/>
    <w:link w:val="Balk1Char"/>
    <w:uiPriority w:val="1"/>
    <w:qFormat/>
    <w:rsid w:val="008C41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2161"/>
    <w:pPr>
      <w:ind w:left="720"/>
      <w:contextualSpacing/>
    </w:pPr>
  </w:style>
  <w:style w:type="paragraph" w:customStyle="1" w:styleId="metin">
    <w:name w:val="metin"/>
    <w:basedOn w:val="Normal"/>
    <w:rsid w:val="001F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197706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97706"/>
    <w:rPr>
      <w:rFonts w:ascii="Times New Roman" w:eastAsia="Times New Roman" w:hAnsi="Times New Roman" w:cs="Times New Roman"/>
      <w:lang w:val="en-US"/>
    </w:rPr>
  </w:style>
  <w:style w:type="paragraph" w:styleId="AralkYok">
    <w:name w:val="No Spacing"/>
    <w:link w:val="AralkYokChar"/>
    <w:uiPriority w:val="1"/>
    <w:qFormat/>
    <w:rsid w:val="00C351E8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351E8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35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51E8"/>
  </w:style>
  <w:style w:type="paragraph" w:styleId="AltBilgi">
    <w:name w:val="footer"/>
    <w:basedOn w:val="Normal"/>
    <w:link w:val="AltBilgiChar"/>
    <w:unhideWhenUsed/>
    <w:rsid w:val="00C35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C351E8"/>
  </w:style>
  <w:style w:type="character" w:styleId="AklamaBavurusu">
    <w:name w:val="annotation reference"/>
    <w:basedOn w:val="VarsaylanParagrafYazTipi"/>
    <w:uiPriority w:val="99"/>
    <w:semiHidden/>
    <w:unhideWhenUsed/>
    <w:rsid w:val="0039259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9259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9259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9259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9259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2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2592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semiHidden/>
    <w:unhideWhenUsed/>
    <w:rsid w:val="00774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74C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774C75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C41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8C418F"/>
    <w:pPr>
      <w:outlineLvl w:val="9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8C418F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8C418F"/>
    <w:rPr>
      <w:color w:val="0563C1" w:themeColor="hyperlink"/>
      <w:u w:val="single"/>
    </w:rPr>
  </w:style>
  <w:style w:type="paragraph" w:styleId="T2">
    <w:name w:val="toc 2"/>
    <w:basedOn w:val="Normal"/>
    <w:next w:val="Normal"/>
    <w:autoRedefine/>
    <w:uiPriority w:val="39"/>
    <w:unhideWhenUsed/>
    <w:rsid w:val="008C418F"/>
    <w:pPr>
      <w:spacing w:after="100"/>
      <w:ind w:left="220"/>
    </w:pPr>
    <w:rPr>
      <w:rFonts w:eastAsiaTheme="minorEastAsia" w:cs="Times New Roman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8C418F"/>
    <w:pPr>
      <w:spacing w:after="100"/>
      <w:ind w:left="440"/>
    </w:pPr>
    <w:rPr>
      <w:rFonts w:eastAsiaTheme="minorEastAsi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B7F19-7127-448C-9968-B14938E1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Gülru GÜRDEMİR</dc:creator>
  <cp:keywords/>
  <dc:description/>
  <cp:lastModifiedBy>N.Demet AYDINKARAHALİLOĞLU</cp:lastModifiedBy>
  <cp:revision>9</cp:revision>
  <dcterms:created xsi:type="dcterms:W3CDTF">2022-09-02T06:45:00Z</dcterms:created>
  <dcterms:modified xsi:type="dcterms:W3CDTF">2022-09-02T08:06:00Z</dcterms:modified>
</cp:coreProperties>
</file>