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03" w:rsidRPr="00FD0177" w:rsidRDefault="00956B03" w:rsidP="00956B03">
      <w:pPr>
        <w:jc w:val="center"/>
        <w:rPr>
          <w:rFonts w:ascii="Times New Roman" w:hAnsi="Times New Roman" w:cs="Times New Roman"/>
          <w:b/>
          <w:sz w:val="28"/>
          <w:szCs w:val="24"/>
        </w:rPr>
      </w:pPr>
      <w:r w:rsidRPr="00FD0177">
        <w:rPr>
          <w:rFonts w:ascii="Times New Roman" w:hAnsi="Times New Roman" w:cs="Times New Roman"/>
          <w:b/>
          <w:sz w:val="28"/>
          <w:szCs w:val="24"/>
        </w:rPr>
        <w:t>YENİ TIBBİ CİHAZ TÜZÜĞÜ (MDR) KAPSAMINDA RİSK SINIFI DEĞİŞECEK VEYA İLGİLİ TÜZÜK KAPSAMINA GİRECEK CİHAZLAR HAKKINDA DUYURU</w:t>
      </w:r>
    </w:p>
    <w:p w:rsidR="00956B03" w:rsidRPr="00956B03" w:rsidRDefault="00956B03" w:rsidP="00956B03">
      <w:pPr>
        <w:spacing w:line="240" w:lineRule="auto"/>
        <w:ind w:firstLine="708"/>
        <w:jc w:val="both"/>
        <w:rPr>
          <w:rFonts w:ascii="Times New Roman" w:hAnsi="Times New Roman" w:cs="Times New Roman"/>
          <w:sz w:val="24"/>
          <w:szCs w:val="24"/>
        </w:rPr>
      </w:pPr>
      <w:r w:rsidRPr="00956B03">
        <w:rPr>
          <w:rFonts w:ascii="Times New Roman" w:hAnsi="Times New Roman" w:cs="Times New Roman"/>
          <w:sz w:val="24"/>
          <w:szCs w:val="24"/>
        </w:rPr>
        <w:t>Bilindiği üzere AB Komisyonu tarafından tıbbi cihazlara ilişkin hazırlanan (AB)</w:t>
      </w:r>
      <w:r w:rsidRPr="00956B03">
        <w:rPr>
          <w:rFonts w:ascii="Times New Roman" w:hAnsi="Times New Roman" w:cs="Times New Roman"/>
          <w:b/>
          <w:sz w:val="24"/>
          <w:szCs w:val="24"/>
        </w:rPr>
        <w:t xml:space="preserve"> </w:t>
      </w:r>
      <w:r w:rsidRPr="00956B03">
        <w:rPr>
          <w:rFonts w:ascii="Times New Roman" w:hAnsi="Times New Roman" w:cs="Times New Roman"/>
          <w:sz w:val="24"/>
          <w:szCs w:val="24"/>
        </w:rPr>
        <w:t>2017/745 (MDR)</w:t>
      </w:r>
      <w:r w:rsidRPr="00956B03">
        <w:rPr>
          <w:rStyle w:val="DipnotBavurusu"/>
          <w:rFonts w:ascii="Times New Roman" w:hAnsi="Times New Roman" w:cs="Times New Roman"/>
          <w:sz w:val="24"/>
          <w:szCs w:val="24"/>
        </w:rPr>
        <w:footnoteReference w:id="1"/>
      </w:r>
      <w:r w:rsidRPr="00956B03">
        <w:rPr>
          <w:rFonts w:ascii="Times New Roman" w:hAnsi="Times New Roman" w:cs="Times New Roman"/>
          <w:sz w:val="24"/>
          <w:szCs w:val="24"/>
        </w:rPr>
        <w:t xml:space="preserve"> ve (AB) 2017/746 (IVDR)</w:t>
      </w:r>
      <w:r w:rsidRPr="00956B03">
        <w:rPr>
          <w:rStyle w:val="DipnotBavurusu"/>
          <w:rFonts w:ascii="Times New Roman" w:hAnsi="Times New Roman" w:cs="Times New Roman"/>
          <w:sz w:val="24"/>
          <w:szCs w:val="24"/>
        </w:rPr>
        <w:footnoteReference w:id="2"/>
      </w:r>
      <w:r w:rsidRPr="00956B03">
        <w:rPr>
          <w:rFonts w:ascii="Times New Roman" w:hAnsi="Times New Roman" w:cs="Times New Roman"/>
          <w:sz w:val="24"/>
          <w:szCs w:val="24"/>
        </w:rPr>
        <w:t xml:space="preserve"> sayılı Tüzükler Avrupa Birliği Resmi Gazetesi’nde yayımlanarak 25.05.2017 tarihinde yürürlüğe girmiş olup sırasıyla 26.05.2020 ve 26.05.2022 tarihlerinden itibaren uygulanacaktır. Tıbbi cihazların sınıflandırılması konusunda önemli değişiklikler içeren bu Tüzüklerin uyumlaştırma çalışmaları Kurumumuzca yürütülmektedir. </w:t>
      </w:r>
    </w:p>
    <w:p w:rsidR="00956B03" w:rsidRPr="00956B03" w:rsidRDefault="00956B03" w:rsidP="00956B03">
      <w:pPr>
        <w:spacing w:line="240" w:lineRule="auto"/>
        <w:ind w:firstLine="708"/>
        <w:jc w:val="both"/>
        <w:rPr>
          <w:rFonts w:ascii="Times New Roman" w:hAnsi="Times New Roman" w:cs="Times New Roman"/>
          <w:sz w:val="24"/>
          <w:szCs w:val="24"/>
        </w:rPr>
      </w:pPr>
      <w:r w:rsidRPr="00956B03">
        <w:rPr>
          <w:rFonts w:ascii="Times New Roman" w:hAnsi="Times New Roman" w:cs="Times New Roman"/>
          <w:sz w:val="24"/>
          <w:szCs w:val="24"/>
        </w:rPr>
        <w:t xml:space="preserve">Bu bağlamda ilgili tıbbi cihaz tüzüklerinde imalatçı, ithalatçı ve dağıtıcılara yönelik birçok yeni düzenleme getirilmiş olup sınıflandırma, uygunluk değerlendirme rotaları, klinik değerlendirme, tekil cihaz takibi gibi konularda yeni gereklilikler tanımlanmıştır. </w:t>
      </w:r>
    </w:p>
    <w:p w:rsidR="00956B03" w:rsidRPr="00956B03" w:rsidRDefault="00956B03" w:rsidP="00956B03">
      <w:pPr>
        <w:spacing w:line="240" w:lineRule="auto"/>
        <w:ind w:firstLine="708"/>
        <w:jc w:val="both"/>
        <w:rPr>
          <w:rFonts w:ascii="Times New Roman" w:hAnsi="Times New Roman" w:cs="Times New Roman"/>
          <w:sz w:val="24"/>
          <w:szCs w:val="24"/>
        </w:rPr>
      </w:pPr>
      <w:r w:rsidRPr="00956B03">
        <w:rPr>
          <w:rFonts w:ascii="Times New Roman" w:hAnsi="Times New Roman" w:cs="Times New Roman"/>
          <w:sz w:val="24"/>
          <w:szCs w:val="24"/>
        </w:rPr>
        <w:t xml:space="preserve">Yeni Tıbbi Cihaz Tüzüğü’nde (MDR), mevcut Tıbbi Cihaz Yönetmeliği’nde olduğu gibi tıbbi cihazlar 4 farklı risk sınıfında değerlendirilmektedir (sınıf I, </w:t>
      </w:r>
      <w:proofErr w:type="spellStart"/>
      <w:r w:rsidRPr="00956B03">
        <w:rPr>
          <w:rFonts w:ascii="Times New Roman" w:hAnsi="Times New Roman" w:cs="Times New Roman"/>
          <w:sz w:val="24"/>
          <w:szCs w:val="24"/>
        </w:rPr>
        <w:t>IIa</w:t>
      </w:r>
      <w:proofErr w:type="spellEnd"/>
      <w:r w:rsidRPr="00956B03">
        <w:rPr>
          <w:rFonts w:ascii="Times New Roman" w:hAnsi="Times New Roman" w:cs="Times New Roman"/>
          <w:sz w:val="24"/>
          <w:szCs w:val="24"/>
        </w:rPr>
        <w:t xml:space="preserve">, </w:t>
      </w:r>
      <w:proofErr w:type="spellStart"/>
      <w:r w:rsidRPr="00956B03">
        <w:rPr>
          <w:rFonts w:ascii="Times New Roman" w:hAnsi="Times New Roman" w:cs="Times New Roman"/>
          <w:sz w:val="24"/>
          <w:szCs w:val="24"/>
        </w:rPr>
        <w:t>IIb</w:t>
      </w:r>
      <w:proofErr w:type="spellEnd"/>
      <w:r w:rsidRPr="00956B03">
        <w:rPr>
          <w:rFonts w:ascii="Times New Roman" w:hAnsi="Times New Roman" w:cs="Times New Roman"/>
          <w:sz w:val="24"/>
          <w:szCs w:val="24"/>
        </w:rPr>
        <w:t xml:space="preserve"> ve III). Ancak mevcut Tıbbi Cihaz Yönetmeliği’nin Ek </w:t>
      </w:r>
      <w:proofErr w:type="spellStart"/>
      <w:r w:rsidRPr="00956B03">
        <w:rPr>
          <w:rFonts w:ascii="Times New Roman" w:hAnsi="Times New Roman" w:cs="Times New Roman"/>
          <w:sz w:val="24"/>
          <w:szCs w:val="24"/>
        </w:rPr>
        <w:t>IX’unda</w:t>
      </w:r>
      <w:proofErr w:type="spellEnd"/>
      <w:r w:rsidRPr="00956B03">
        <w:rPr>
          <w:rFonts w:ascii="Times New Roman" w:hAnsi="Times New Roman" w:cs="Times New Roman"/>
          <w:sz w:val="24"/>
          <w:szCs w:val="24"/>
        </w:rPr>
        <w:t xml:space="preserve"> 18 sınıflandırma kuralı bulunmakta iken yeni </w:t>
      </w:r>
      <w:proofErr w:type="spellStart"/>
      <w:r w:rsidRPr="00956B03">
        <w:rPr>
          <w:rFonts w:ascii="Times New Roman" w:hAnsi="Times New Roman" w:cs="Times New Roman"/>
          <w:sz w:val="24"/>
          <w:szCs w:val="24"/>
        </w:rPr>
        <w:t>Tüzük’ün</w:t>
      </w:r>
      <w:proofErr w:type="spellEnd"/>
      <w:r w:rsidRPr="00956B03">
        <w:rPr>
          <w:rFonts w:ascii="Times New Roman" w:hAnsi="Times New Roman" w:cs="Times New Roman"/>
          <w:sz w:val="24"/>
          <w:szCs w:val="24"/>
        </w:rPr>
        <w:t xml:space="preserve"> Ek </w:t>
      </w:r>
      <w:proofErr w:type="spellStart"/>
      <w:r w:rsidRPr="00956B03">
        <w:rPr>
          <w:rFonts w:ascii="Times New Roman" w:hAnsi="Times New Roman" w:cs="Times New Roman"/>
          <w:sz w:val="24"/>
          <w:szCs w:val="24"/>
        </w:rPr>
        <w:t>VIII’inde</w:t>
      </w:r>
      <w:proofErr w:type="spellEnd"/>
      <w:r w:rsidRPr="00956B03">
        <w:rPr>
          <w:rFonts w:ascii="Times New Roman" w:hAnsi="Times New Roman" w:cs="Times New Roman"/>
          <w:sz w:val="24"/>
          <w:szCs w:val="24"/>
        </w:rPr>
        <w:t xml:space="preserve"> 22 sınıflandırma kuralına yer verilmiş olup Ek VIII, yeni düzenlemelerle belirli cihazlarla ilgili sınıflandırma değişiklikleri öngörülmüştür.  </w:t>
      </w:r>
    </w:p>
    <w:p w:rsidR="00956B03" w:rsidRPr="00956B03" w:rsidRDefault="00956B03" w:rsidP="00956B03">
      <w:pPr>
        <w:spacing w:line="240" w:lineRule="auto"/>
        <w:ind w:firstLine="708"/>
        <w:jc w:val="both"/>
        <w:rPr>
          <w:rFonts w:ascii="Times New Roman" w:hAnsi="Times New Roman" w:cs="Times New Roman"/>
          <w:sz w:val="24"/>
          <w:szCs w:val="24"/>
        </w:rPr>
      </w:pPr>
      <w:r w:rsidRPr="00956B03">
        <w:rPr>
          <w:rFonts w:ascii="Times New Roman" w:hAnsi="Times New Roman" w:cs="Times New Roman"/>
          <w:sz w:val="24"/>
          <w:szCs w:val="24"/>
        </w:rPr>
        <w:t xml:space="preserve">Özellikle bazı Sınıf I tıbbi cihazların risk sınıfının yükselecek olması yeni dönemde bu ürünler için onaylanmış kuruluş denetimi ve EC sertifikasını gerekli kılacaktır Bu nedenle imalatçıların mevcut cihazları başta olmak üzere, cihazlarını özel sınıflandırma kurallarına dikkat ederek yeni kurallar kapsamında değerlendirme yapmaları büyük önem arz etmektedir. Örneğin yeni </w:t>
      </w:r>
      <w:proofErr w:type="spellStart"/>
      <w:r w:rsidRPr="00956B03">
        <w:rPr>
          <w:rFonts w:ascii="Times New Roman" w:hAnsi="Times New Roman" w:cs="Times New Roman"/>
          <w:sz w:val="24"/>
          <w:szCs w:val="24"/>
        </w:rPr>
        <w:t>Tüzük’ün</w:t>
      </w:r>
      <w:proofErr w:type="spellEnd"/>
      <w:r w:rsidRPr="00956B03">
        <w:rPr>
          <w:rFonts w:ascii="Times New Roman" w:hAnsi="Times New Roman" w:cs="Times New Roman"/>
          <w:sz w:val="24"/>
          <w:szCs w:val="24"/>
        </w:rPr>
        <w:t xml:space="preserve"> kural 21’inde, deriye uygulanması ya da vücut açıklığı yoluyla insan vücuduna girmesi amaçlanan ve insan vücudu tarafından </w:t>
      </w:r>
      <w:proofErr w:type="spellStart"/>
      <w:r w:rsidRPr="00956B03">
        <w:rPr>
          <w:rFonts w:ascii="Times New Roman" w:hAnsi="Times New Roman" w:cs="Times New Roman"/>
          <w:sz w:val="24"/>
          <w:szCs w:val="24"/>
        </w:rPr>
        <w:t>absorbe</w:t>
      </w:r>
      <w:proofErr w:type="spellEnd"/>
      <w:r w:rsidRPr="00956B03">
        <w:rPr>
          <w:rFonts w:ascii="Times New Roman" w:hAnsi="Times New Roman" w:cs="Times New Roman"/>
          <w:sz w:val="24"/>
          <w:szCs w:val="24"/>
        </w:rPr>
        <w:t xml:space="preserve"> edilen veya insan vücudunda </w:t>
      </w:r>
      <w:proofErr w:type="gramStart"/>
      <w:r w:rsidRPr="00956B03">
        <w:rPr>
          <w:rFonts w:ascii="Times New Roman" w:hAnsi="Times New Roman" w:cs="Times New Roman"/>
          <w:sz w:val="24"/>
          <w:szCs w:val="24"/>
        </w:rPr>
        <w:t>lokal</w:t>
      </w:r>
      <w:proofErr w:type="gramEnd"/>
      <w:r w:rsidRPr="00956B03">
        <w:rPr>
          <w:rFonts w:ascii="Times New Roman" w:hAnsi="Times New Roman" w:cs="Times New Roman"/>
          <w:sz w:val="24"/>
          <w:szCs w:val="24"/>
        </w:rPr>
        <w:t xml:space="preserve"> olarak dağılan maddelerden ya da maddelerin kombinasyonlarından oluşan cihazlar sınıf I olamayacak; dolayısıyla şu anda sınıf I olarak sınıflandırılan bu tip cihazlar daha üst bir risk </w:t>
      </w:r>
      <w:proofErr w:type="gramStart"/>
      <w:r w:rsidRPr="00956B03">
        <w:rPr>
          <w:rFonts w:ascii="Times New Roman" w:hAnsi="Times New Roman" w:cs="Times New Roman"/>
          <w:sz w:val="24"/>
          <w:szCs w:val="24"/>
        </w:rPr>
        <w:t>sınıfında</w:t>
      </w:r>
      <w:proofErr w:type="gramEnd"/>
      <w:r w:rsidRPr="00956B03">
        <w:rPr>
          <w:rFonts w:ascii="Times New Roman" w:hAnsi="Times New Roman" w:cs="Times New Roman"/>
          <w:sz w:val="24"/>
          <w:szCs w:val="24"/>
        </w:rPr>
        <w:t xml:space="preserve"> sınıflandırılacak ve buna uygun şartlara tabi olacaktır. </w:t>
      </w:r>
    </w:p>
    <w:p w:rsidR="00956B03" w:rsidRPr="00956B03" w:rsidRDefault="00956B03" w:rsidP="00956B03">
      <w:pPr>
        <w:spacing w:line="240" w:lineRule="auto"/>
        <w:ind w:firstLine="708"/>
        <w:jc w:val="both"/>
        <w:rPr>
          <w:rFonts w:ascii="Times New Roman" w:eastAsia="Calibri" w:hAnsi="Times New Roman" w:cs="Times New Roman"/>
          <w:sz w:val="24"/>
          <w:szCs w:val="24"/>
        </w:rPr>
      </w:pPr>
      <w:r w:rsidRPr="00956B03">
        <w:rPr>
          <w:rFonts w:ascii="Times New Roman" w:hAnsi="Times New Roman" w:cs="Times New Roman"/>
          <w:sz w:val="24"/>
          <w:szCs w:val="24"/>
        </w:rPr>
        <w:t xml:space="preserve">Buna ilaveten, tıbbi uygulama endüstrisini önemli ölçüde etkilemesi beklenen çeşitli yazılım ürünlerinin sınıflandırılmasına ilişkin detaylı kurallar yeni Tüzük kapsamına alınmıştır.  Buna göre, </w:t>
      </w:r>
      <w:r w:rsidRPr="00956B03">
        <w:rPr>
          <w:rFonts w:ascii="Times New Roman" w:eastAsia="Calibri" w:hAnsi="Times New Roman" w:cs="Times New Roman"/>
          <w:sz w:val="24"/>
          <w:szCs w:val="24"/>
        </w:rPr>
        <w:t xml:space="preserve">tanılama veya </w:t>
      </w:r>
      <w:proofErr w:type="spellStart"/>
      <w:r w:rsidRPr="00956B03">
        <w:rPr>
          <w:rFonts w:ascii="Times New Roman" w:eastAsia="Calibri" w:hAnsi="Times New Roman" w:cs="Times New Roman"/>
          <w:sz w:val="24"/>
          <w:szCs w:val="24"/>
        </w:rPr>
        <w:t>terapötik</w:t>
      </w:r>
      <w:proofErr w:type="spellEnd"/>
      <w:r w:rsidRPr="00956B03">
        <w:rPr>
          <w:rFonts w:ascii="Times New Roman" w:eastAsia="Calibri" w:hAnsi="Times New Roman" w:cs="Times New Roman"/>
          <w:sz w:val="24"/>
          <w:szCs w:val="24"/>
        </w:rPr>
        <w:t xml:space="preserve"> amaçlı kararlar almak için kullanılan bilgileri sağlayan yazılımlar sınıf </w:t>
      </w:r>
      <w:proofErr w:type="spellStart"/>
      <w:r w:rsidRPr="00956B03">
        <w:rPr>
          <w:rFonts w:ascii="Times New Roman" w:eastAsia="Calibri" w:hAnsi="Times New Roman" w:cs="Times New Roman"/>
          <w:sz w:val="24"/>
          <w:szCs w:val="24"/>
        </w:rPr>
        <w:t>IIa</w:t>
      </w:r>
      <w:proofErr w:type="spellEnd"/>
      <w:r w:rsidRPr="00956B03">
        <w:rPr>
          <w:rFonts w:ascii="Times New Roman" w:eastAsia="Calibri" w:hAnsi="Times New Roman" w:cs="Times New Roman"/>
          <w:sz w:val="24"/>
          <w:szCs w:val="24"/>
        </w:rPr>
        <w:t xml:space="preserve"> olarak sınıflandırılacaktır. Mamafih, bu kararlar ölüm veya kişinin sağlık durumunda geri dönüşü olmayan bir bozulmaya neden olabilecek bir etkiye sahip ise, bu yazılımlar sınıf III olarak sınıflandırılacaktır. Bir kişinin sağlık durumunda ciddi bozulma veya cerrahi bir müdahaleye neden olabilecek bir etkiye sahip ise, bu yazılımlar sınıf </w:t>
      </w:r>
      <w:proofErr w:type="spellStart"/>
      <w:r w:rsidRPr="00956B03">
        <w:rPr>
          <w:rFonts w:ascii="Times New Roman" w:eastAsia="Calibri" w:hAnsi="Times New Roman" w:cs="Times New Roman"/>
          <w:sz w:val="24"/>
          <w:szCs w:val="24"/>
        </w:rPr>
        <w:t>IIb</w:t>
      </w:r>
      <w:proofErr w:type="spellEnd"/>
      <w:r w:rsidRPr="00956B03">
        <w:rPr>
          <w:rFonts w:ascii="Times New Roman" w:eastAsia="Calibri" w:hAnsi="Times New Roman" w:cs="Times New Roman"/>
          <w:sz w:val="24"/>
          <w:szCs w:val="24"/>
        </w:rPr>
        <w:t xml:space="preserve"> olarak sınıflandırılacaktır. Fizyolojik süreçleri izlemesi amaçlanan yazılımlar, sınıf </w:t>
      </w:r>
      <w:proofErr w:type="spellStart"/>
      <w:r w:rsidRPr="00956B03">
        <w:rPr>
          <w:rFonts w:ascii="Times New Roman" w:eastAsia="Calibri" w:hAnsi="Times New Roman" w:cs="Times New Roman"/>
          <w:sz w:val="24"/>
          <w:szCs w:val="24"/>
        </w:rPr>
        <w:t>IIa</w:t>
      </w:r>
      <w:proofErr w:type="spellEnd"/>
      <w:r w:rsidRPr="00956B03">
        <w:rPr>
          <w:rFonts w:ascii="Times New Roman" w:eastAsia="Calibri" w:hAnsi="Times New Roman" w:cs="Times New Roman"/>
          <w:sz w:val="24"/>
          <w:szCs w:val="24"/>
        </w:rPr>
        <w:t xml:space="preserve"> olarak sınıflandırılırken, hayati fizyolojik parametrelerin izlenmesi amaçlanıyorsa ve bu parametrelerdeki varyasyonlar hastada ani tehlike ile sonuçlanabilecek nitelikteyse, bu yazılımlar sınıf </w:t>
      </w:r>
      <w:proofErr w:type="spellStart"/>
      <w:r w:rsidRPr="00956B03">
        <w:rPr>
          <w:rFonts w:ascii="Times New Roman" w:eastAsia="Calibri" w:hAnsi="Times New Roman" w:cs="Times New Roman"/>
          <w:sz w:val="24"/>
          <w:szCs w:val="24"/>
        </w:rPr>
        <w:t>IIb</w:t>
      </w:r>
      <w:proofErr w:type="spellEnd"/>
      <w:r w:rsidRPr="00956B03">
        <w:rPr>
          <w:rFonts w:ascii="Times New Roman" w:eastAsia="Calibri" w:hAnsi="Times New Roman" w:cs="Times New Roman"/>
          <w:sz w:val="24"/>
          <w:szCs w:val="24"/>
        </w:rPr>
        <w:t xml:space="preserve"> olarak sınıflandırılacaktır.   </w:t>
      </w:r>
    </w:p>
    <w:p w:rsidR="00933EC1" w:rsidRDefault="00956B03" w:rsidP="00933EC1">
      <w:pPr>
        <w:spacing w:line="240" w:lineRule="auto"/>
        <w:ind w:firstLine="708"/>
        <w:jc w:val="both"/>
        <w:rPr>
          <w:rFonts w:ascii="Times New Roman" w:hAnsi="Times New Roman" w:cs="Times New Roman"/>
          <w:color w:val="000000" w:themeColor="text1"/>
          <w:sz w:val="24"/>
          <w:szCs w:val="24"/>
        </w:rPr>
      </w:pPr>
      <w:r w:rsidRPr="00956B03">
        <w:rPr>
          <w:rFonts w:ascii="Times New Roman" w:hAnsi="Times New Roman" w:cs="Times New Roman"/>
          <w:color w:val="000000" w:themeColor="text1"/>
          <w:sz w:val="24"/>
          <w:szCs w:val="24"/>
        </w:rPr>
        <w:t>Yeni Tüzük kapsamında, cerrahi aletler için sınıf I yeniden kullanılabilir cihazlar</w:t>
      </w:r>
      <w:r w:rsidR="00D914FB">
        <w:rPr>
          <w:rFonts w:ascii="Times New Roman" w:hAnsi="Times New Roman" w:cs="Times New Roman"/>
          <w:color w:val="000000" w:themeColor="text1"/>
          <w:sz w:val="24"/>
          <w:szCs w:val="24"/>
        </w:rPr>
        <w:t xml:space="preserve">      </w:t>
      </w:r>
      <w:r w:rsidRPr="00956B03">
        <w:rPr>
          <w:rFonts w:ascii="Times New Roman" w:hAnsi="Times New Roman" w:cs="Times New Roman"/>
          <w:color w:val="000000" w:themeColor="text1"/>
          <w:sz w:val="24"/>
          <w:szCs w:val="24"/>
        </w:rPr>
        <w:t xml:space="preserve"> (sınıf </w:t>
      </w:r>
      <w:proofErr w:type="spellStart"/>
      <w:r w:rsidRPr="00956B03">
        <w:rPr>
          <w:rFonts w:ascii="Times New Roman" w:hAnsi="Times New Roman" w:cs="Times New Roman"/>
          <w:color w:val="000000" w:themeColor="text1"/>
          <w:sz w:val="24"/>
          <w:szCs w:val="24"/>
        </w:rPr>
        <w:t>Ir</w:t>
      </w:r>
      <w:proofErr w:type="spellEnd"/>
      <w:r w:rsidRPr="00956B03">
        <w:rPr>
          <w:rFonts w:ascii="Times New Roman" w:hAnsi="Times New Roman" w:cs="Times New Roman"/>
          <w:color w:val="000000" w:themeColor="text1"/>
          <w:sz w:val="24"/>
          <w:szCs w:val="24"/>
        </w:rPr>
        <w:t xml:space="preserve">) adında yeni bir alt sınıf oluşturulmuştur. Şu an yürürlükte olan düzenlemeye göre sınıf I olarak piyasaya arz edilen tek kullanımlık cerrahi el aletleri vb. ürünler yeni düzenleme ile daha yüksek bir inceleme seviyesine getirilmiştir. Yeni Tüzük kapsamında, imalatçıların sınıf </w:t>
      </w:r>
      <w:proofErr w:type="spellStart"/>
      <w:r w:rsidRPr="00956B03">
        <w:rPr>
          <w:rFonts w:ascii="Times New Roman" w:hAnsi="Times New Roman" w:cs="Times New Roman"/>
          <w:color w:val="000000" w:themeColor="text1"/>
          <w:sz w:val="24"/>
          <w:szCs w:val="24"/>
        </w:rPr>
        <w:t>Ir</w:t>
      </w:r>
      <w:proofErr w:type="spellEnd"/>
      <w:r w:rsidRPr="00956B03">
        <w:rPr>
          <w:rFonts w:ascii="Times New Roman" w:hAnsi="Times New Roman" w:cs="Times New Roman"/>
          <w:color w:val="000000" w:themeColor="text1"/>
          <w:sz w:val="24"/>
          <w:szCs w:val="24"/>
        </w:rPr>
        <w:t xml:space="preserve"> kategorisine giren cihazları sadece uygunluk beyanı ile piyasaya arz etmelerine izin </w:t>
      </w:r>
      <w:r w:rsidRPr="00956B03">
        <w:rPr>
          <w:rFonts w:ascii="Times New Roman" w:hAnsi="Times New Roman" w:cs="Times New Roman"/>
          <w:color w:val="000000" w:themeColor="text1"/>
          <w:sz w:val="24"/>
          <w:szCs w:val="24"/>
        </w:rPr>
        <w:lastRenderedPageBreak/>
        <w:t xml:space="preserve">verilmemekte olup bu ürünler için onaylanmış kuruluş denetimi ve EC sertifikası zorunluluğu getirilmiştir. </w:t>
      </w:r>
      <w:r w:rsidRPr="00956B03">
        <w:rPr>
          <w:rFonts w:ascii="Times New Roman" w:hAnsi="Times New Roman" w:cs="Times New Roman"/>
          <w:sz w:val="24"/>
          <w:szCs w:val="24"/>
        </w:rPr>
        <w:t xml:space="preserve">Sınıf </w:t>
      </w:r>
      <w:proofErr w:type="spellStart"/>
      <w:r w:rsidRPr="00956B03">
        <w:rPr>
          <w:rFonts w:ascii="Times New Roman" w:hAnsi="Times New Roman" w:cs="Times New Roman"/>
          <w:sz w:val="24"/>
          <w:szCs w:val="24"/>
        </w:rPr>
        <w:t>Ir</w:t>
      </w:r>
      <w:proofErr w:type="spellEnd"/>
      <w:r w:rsidRPr="00956B03">
        <w:rPr>
          <w:rFonts w:ascii="Times New Roman" w:hAnsi="Times New Roman" w:cs="Times New Roman"/>
          <w:sz w:val="24"/>
          <w:szCs w:val="24"/>
        </w:rPr>
        <w:t xml:space="preserve"> cihazlar için; temizlik, dezenfeksiyon ve sterilizasyon talimatlarının yeterli ve kapsamlı olmasını sağlama sorumluluğu cihazın imalatçısında olup imalatçılar onaylanmış kuruluşa cihazın kullanım talimatında belirtilen temizlik, dezenfeksiyon ve sterilizasyon işlemlerinin güvenliğini ve etkinliğini kanıtlayan ayrıntılı bir teknik dosya sunacaktır.  </w:t>
      </w:r>
    </w:p>
    <w:p w:rsidR="00956B03" w:rsidRPr="00933EC1" w:rsidRDefault="00956B03" w:rsidP="00933EC1">
      <w:pPr>
        <w:spacing w:line="240" w:lineRule="auto"/>
        <w:ind w:firstLine="708"/>
        <w:jc w:val="both"/>
        <w:rPr>
          <w:rFonts w:ascii="Times New Roman" w:hAnsi="Times New Roman" w:cs="Times New Roman"/>
          <w:color w:val="000000" w:themeColor="text1"/>
          <w:sz w:val="24"/>
          <w:szCs w:val="24"/>
        </w:rPr>
      </w:pPr>
      <w:r w:rsidRPr="00956B03">
        <w:rPr>
          <w:rFonts w:ascii="Times New Roman" w:hAnsi="Times New Roman" w:cs="Times New Roman"/>
          <w:sz w:val="24"/>
          <w:szCs w:val="24"/>
        </w:rPr>
        <w:t xml:space="preserve">Yeni Tıbbi Cihaz Tüzüğü ile beraber tıbbi cihaz olmayan ancak risk </w:t>
      </w:r>
      <w:proofErr w:type="gramStart"/>
      <w:r w:rsidRPr="00956B03">
        <w:rPr>
          <w:rFonts w:ascii="Times New Roman" w:hAnsi="Times New Roman" w:cs="Times New Roman"/>
          <w:sz w:val="24"/>
          <w:szCs w:val="24"/>
        </w:rPr>
        <w:t>profili</w:t>
      </w:r>
      <w:proofErr w:type="gramEnd"/>
      <w:r w:rsidRPr="00956B03">
        <w:rPr>
          <w:rFonts w:ascii="Times New Roman" w:hAnsi="Times New Roman" w:cs="Times New Roman"/>
          <w:sz w:val="24"/>
          <w:szCs w:val="24"/>
        </w:rPr>
        <w:t xml:space="preserve"> açısından tıbbi cihazlara benzer olan ürün grupları da Tüzük kapsamına eklenmiştir. Bu ürün gruplarına </w:t>
      </w:r>
      <w:proofErr w:type="spellStart"/>
      <w:r w:rsidRPr="00956B03">
        <w:rPr>
          <w:rFonts w:ascii="Times New Roman" w:hAnsi="Times New Roman" w:cs="Times New Roman"/>
          <w:sz w:val="24"/>
          <w:szCs w:val="24"/>
        </w:rPr>
        <w:t>Tüzük’ün</w:t>
      </w:r>
      <w:proofErr w:type="spellEnd"/>
      <w:r w:rsidRPr="00956B03">
        <w:rPr>
          <w:rFonts w:ascii="Times New Roman" w:hAnsi="Times New Roman" w:cs="Times New Roman"/>
          <w:sz w:val="24"/>
          <w:szCs w:val="24"/>
        </w:rPr>
        <w:t xml:space="preserve"> Ek </w:t>
      </w:r>
      <w:proofErr w:type="spellStart"/>
      <w:r w:rsidRPr="00956B03">
        <w:rPr>
          <w:rFonts w:ascii="Times New Roman" w:hAnsi="Times New Roman" w:cs="Times New Roman"/>
          <w:sz w:val="24"/>
          <w:szCs w:val="24"/>
        </w:rPr>
        <w:t>XVI’sında</w:t>
      </w:r>
      <w:proofErr w:type="spellEnd"/>
      <w:r w:rsidRPr="00956B03">
        <w:rPr>
          <w:rFonts w:ascii="Times New Roman" w:hAnsi="Times New Roman" w:cs="Times New Roman"/>
          <w:sz w:val="24"/>
          <w:szCs w:val="24"/>
        </w:rPr>
        <w:t xml:space="preserve"> yer verilmiş olup tıbbi amaçlı olmayan: </w:t>
      </w:r>
    </w:p>
    <w:p w:rsidR="00956B03" w:rsidRPr="00956B03" w:rsidRDefault="00956B03" w:rsidP="00956B03">
      <w:pPr>
        <w:pStyle w:val="ListeParagraf"/>
        <w:numPr>
          <w:ilvl w:val="0"/>
          <w:numId w:val="4"/>
        </w:numPr>
        <w:spacing w:after="0" w:line="240" w:lineRule="auto"/>
        <w:jc w:val="both"/>
        <w:rPr>
          <w:rFonts w:ascii="Times New Roman" w:hAnsi="Times New Roman" w:cs="Times New Roman"/>
          <w:sz w:val="24"/>
          <w:szCs w:val="24"/>
        </w:rPr>
      </w:pPr>
      <w:r w:rsidRPr="00956B03">
        <w:rPr>
          <w:rFonts w:ascii="Times New Roman" w:hAnsi="Times New Roman" w:cs="Times New Roman"/>
          <w:sz w:val="24"/>
          <w:szCs w:val="24"/>
        </w:rPr>
        <w:t xml:space="preserve">Kontak lensler ya da göz içine veya üzerine uygulanması amaçlanan diğer gereçler; </w:t>
      </w:r>
    </w:p>
    <w:p w:rsidR="00956B03" w:rsidRPr="00956B03" w:rsidRDefault="00956B03" w:rsidP="00956B03">
      <w:pPr>
        <w:pStyle w:val="ListeParagraf"/>
        <w:numPr>
          <w:ilvl w:val="0"/>
          <w:numId w:val="4"/>
        </w:numPr>
        <w:spacing w:after="0" w:line="240" w:lineRule="auto"/>
        <w:jc w:val="both"/>
        <w:rPr>
          <w:rFonts w:ascii="Times New Roman" w:hAnsi="Times New Roman" w:cs="Times New Roman"/>
          <w:sz w:val="24"/>
          <w:szCs w:val="24"/>
        </w:rPr>
      </w:pPr>
      <w:r w:rsidRPr="00956B03">
        <w:rPr>
          <w:rFonts w:ascii="Times New Roman" w:hAnsi="Times New Roman" w:cs="Times New Roman"/>
          <w:sz w:val="24"/>
          <w:szCs w:val="24"/>
        </w:rPr>
        <w:t xml:space="preserve">Dövme ürünleri ve </w:t>
      </w:r>
      <w:proofErr w:type="spellStart"/>
      <w:r w:rsidRPr="00956B03">
        <w:rPr>
          <w:rFonts w:ascii="Times New Roman" w:hAnsi="Times New Roman" w:cs="Times New Roman"/>
          <w:sz w:val="24"/>
          <w:szCs w:val="24"/>
        </w:rPr>
        <w:t>pirsingler</w:t>
      </w:r>
      <w:proofErr w:type="spellEnd"/>
      <w:r w:rsidRPr="00956B03">
        <w:rPr>
          <w:rFonts w:ascii="Times New Roman" w:hAnsi="Times New Roman" w:cs="Times New Roman"/>
          <w:sz w:val="24"/>
          <w:szCs w:val="24"/>
        </w:rPr>
        <w:t xml:space="preserve"> (</w:t>
      </w:r>
      <w:proofErr w:type="spellStart"/>
      <w:r w:rsidRPr="00956B03">
        <w:rPr>
          <w:rFonts w:ascii="Times New Roman" w:hAnsi="Times New Roman" w:cs="Times New Roman"/>
          <w:sz w:val="24"/>
          <w:szCs w:val="24"/>
        </w:rPr>
        <w:t>piercing</w:t>
      </w:r>
      <w:proofErr w:type="spellEnd"/>
      <w:r w:rsidRPr="00956B03">
        <w:rPr>
          <w:rFonts w:ascii="Times New Roman" w:hAnsi="Times New Roman" w:cs="Times New Roman"/>
          <w:sz w:val="24"/>
          <w:szCs w:val="24"/>
        </w:rPr>
        <w:t xml:space="preserve">) hariç olmak üzere, anatomiyi değiştirmek ya da vücut parçalarının </w:t>
      </w:r>
      <w:proofErr w:type="spellStart"/>
      <w:r w:rsidRPr="00956B03">
        <w:rPr>
          <w:rFonts w:ascii="Times New Roman" w:hAnsi="Times New Roman" w:cs="Times New Roman"/>
          <w:sz w:val="24"/>
          <w:szCs w:val="24"/>
        </w:rPr>
        <w:t>fiksasyonu</w:t>
      </w:r>
      <w:proofErr w:type="spellEnd"/>
      <w:r w:rsidRPr="00956B03">
        <w:rPr>
          <w:rFonts w:ascii="Times New Roman" w:hAnsi="Times New Roman" w:cs="Times New Roman"/>
          <w:sz w:val="24"/>
          <w:szCs w:val="24"/>
        </w:rPr>
        <w:t xml:space="preserve"> amacıyla, cerrahi </w:t>
      </w:r>
      <w:proofErr w:type="spellStart"/>
      <w:r w:rsidRPr="00956B03">
        <w:rPr>
          <w:rFonts w:ascii="Times New Roman" w:hAnsi="Times New Roman" w:cs="Times New Roman"/>
          <w:sz w:val="24"/>
          <w:szCs w:val="24"/>
        </w:rPr>
        <w:t>invaziv</w:t>
      </w:r>
      <w:proofErr w:type="spellEnd"/>
      <w:r w:rsidRPr="00956B03">
        <w:rPr>
          <w:rFonts w:ascii="Times New Roman" w:hAnsi="Times New Roman" w:cs="Times New Roman"/>
          <w:sz w:val="24"/>
          <w:szCs w:val="24"/>
        </w:rPr>
        <w:t xml:space="preserve"> yollar aracılığıyla insan vücuduna tamamen veya kısmen uygulanması amaçlanan ürünler; </w:t>
      </w:r>
    </w:p>
    <w:p w:rsidR="00956B03" w:rsidRPr="00956B03" w:rsidRDefault="00956B03" w:rsidP="00956B03">
      <w:pPr>
        <w:pStyle w:val="ListeParagraf"/>
        <w:numPr>
          <w:ilvl w:val="0"/>
          <w:numId w:val="4"/>
        </w:numPr>
        <w:spacing w:after="0" w:line="240" w:lineRule="auto"/>
        <w:jc w:val="both"/>
        <w:rPr>
          <w:rFonts w:ascii="Times New Roman" w:hAnsi="Times New Roman" w:cs="Times New Roman"/>
          <w:sz w:val="24"/>
          <w:szCs w:val="24"/>
        </w:rPr>
      </w:pPr>
      <w:r w:rsidRPr="00956B03">
        <w:rPr>
          <w:rFonts w:ascii="Times New Roman" w:hAnsi="Times New Roman" w:cs="Times New Roman"/>
          <w:sz w:val="24"/>
          <w:szCs w:val="24"/>
        </w:rPr>
        <w:t xml:space="preserve">Dövmeye yönelik olanlar hariç olmak üzere, </w:t>
      </w:r>
      <w:proofErr w:type="spellStart"/>
      <w:r w:rsidRPr="00956B03">
        <w:rPr>
          <w:rFonts w:ascii="Times New Roman" w:hAnsi="Times New Roman" w:cs="Times New Roman"/>
          <w:sz w:val="24"/>
          <w:szCs w:val="24"/>
        </w:rPr>
        <w:t>subkütan</w:t>
      </w:r>
      <w:proofErr w:type="spellEnd"/>
      <w:r w:rsidRPr="00956B03">
        <w:rPr>
          <w:rFonts w:ascii="Times New Roman" w:hAnsi="Times New Roman" w:cs="Times New Roman"/>
          <w:sz w:val="24"/>
          <w:szCs w:val="24"/>
        </w:rPr>
        <w:t xml:space="preserve">, </w:t>
      </w:r>
      <w:proofErr w:type="spellStart"/>
      <w:r w:rsidRPr="00956B03">
        <w:rPr>
          <w:rFonts w:ascii="Times New Roman" w:hAnsi="Times New Roman" w:cs="Times New Roman"/>
          <w:sz w:val="24"/>
          <w:szCs w:val="24"/>
        </w:rPr>
        <w:t>submukoz</w:t>
      </w:r>
      <w:proofErr w:type="spellEnd"/>
      <w:r w:rsidRPr="00956B03">
        <w:rPr>
          <w:rFonts w:ascii="Times New Roman" w:hAnsi="Times New Roman" w:cs="Times New Roman"/>
          <w:sz w:val="24"/>
          <w:szCs w:val="24"/>
        </w:rPr>
        <w:t xml:space="preserve"> veya </w:t>
      </w:r>
      <w:proofErr w:type="spellStart"/>
      <w:r w:rsidRPr="00956B03">
        <w:rPr>
          <w:rFonts w:ascii="Times New Roman" w:hAnsi="Times New Roman" w:cs="Times New Roman"/>
          <w:sz w:val="24"/>
          <w:szCs w:val="24"/>
        </w:rPr>
        <w:t>intradermal</w:t>
      </w:r>
      <w:proofErr w:type="spellEnd"/>
      <w:r w:rsidRPr="00956B03">
        <w:rPr>
          <w:rFonts w:ascii="Times New Roman" w:hAnsi="Times New Roman" w:cs="Times New Roman"/>
          <w:sz w:val="24"/>
          <w:szCs w:val="24"/>
        </w:rPr>
        <w:t xml:space="preserve"> </w:t>
      </w:r>
      <w:proofErr w:type="gramStart"/>
      <w:r w:rsidRPr="00956B03">
        <w:rPr>
          <w:rFonts w:ascii="Times New Roman" w:hAnsi="Times New Roman" w:cs="Times New Roman"/>
          <w:sz w:val="24"/>
          <w:szCs w:val="24"/>
        </w:rPr>
        <w:t>enjeksiyon</w:t>
      </w:r>
      <w:proofErr w:type="gramEnd"/>
      <w:r w:rsidRPr="00956B03">
        <w:rPr>
          <w:rFonts w:ascii="Times New Roman" w:hAnsi="Times New Roman" w:cs="Times New Roman"/>
          <w:sz w:val="24"/>
          <w:szCs w:val="24"/>
        </w:rPr>
        <w:t xml:space="preserve"> ya da başka bir uygulama yoluyla </w:t>
      </w:r>
      <w:proofErr w:type="spellStart"/>
      <w:r w:rsidRPr="00956B03">
        <w:rPr>
          <w:rFonts w:ascii="Times New Roman" w:hAnsi="Times New Roman" w:cs="Times New Roman"/>
          <w:sz w:val="24"/>
          <w:szCs w:val="24"/>
        </w:rPr>
        <w:t>fasiyal</w:t>
      </w:r>
      <w:proofErr w:type="spellEnd"/>
      <w:r w:rsidRPr="00956B03">
        <w:rPr>
          <w:rFonts w:ascii="Times New Roman" w:hAnsi="Times New Roman" w:cs="Times New Roman"/>
          <w:sz w:val="24"/>
          <w:szCs w:val="24"/>
        </w:rPr>
        <w:t xml:space="preserve"> veya diğer </w:t>
      </w:r>
      <w:proofErr w:type="spellStart"/>
      <w:r w:rsidRPr="00956B03">
        <w:rPr>
          <w:rFonts w:ascii="Times New Roman" w:hAnsi="Times New Roman" w:cs="Times New Roman"/>
          <w:sz w:val="24"/>
          <w:szCs w:val="24"/>
        </w:rPr>
        <w:t>dermal</w:t>
      </w:r>
      <w:proofErr w:type="spellEnd"/>
      <w:r w:rsidRPr="00956B03">
        <w:rPr>
          <w:rFonts w:ascii="Times New Roman" w:hAnsi="Times New Roman" w:cs="Times New Roman"/>
          <w:sz w:val="24"/>
          <w:szCs w:val="24"/>
        </w:rPr>
        <w:t xml:space="preserve"> dolgu ya da </w:t>
      </w:r>
      <w:proofErr w:type="spellStart"/>
      <w:r w:rsidRPr="00956B03">
        <w:rPr>
          <w:rFonts w:ascii="Times New Roman" w:hAnsi="Times New Roman" w:cs="Times New Roman"/>
          <w:sz w:val="24"/>
          <w:szCs w:val="24"/>
        </w:rPr>
        <w:t>mukoz</w:t>
      </w:r>
      <w:proofErr w:type="spellEnd"/>
      <w:r w:rsidRPr="00956B03">
        <w:rPr>
          <w:rFonts w:ascii="Times New Roman" w:hAnsi="Times New Roman" w:cs="Times New Roman"/>
          <w:sz w:val="24"/>
          <w:szCs w:val="24"/>
        </w:rPr>
        <w:t xml:space="preserve"> </w:t>
      </w:r>
      <w:proofErr w:type="spellStart"/>
      <w:r w:rsidRPr="00956B03">
        <w:rPr>
          <w:rFonts w:ascii="Times New Roman" w:hAnsi="Times New Roman" w:cs="Times New Roman"/>
          <w:sz w:val="24"/>
          <w:szCs w:val="24"/>
        </w:rPr>
        <w:t>membran</w:t>
      </w:r>
      <w:proofErr w:type="spellEnd"/>
      <w:r w:rsidRPr="00956B03">
        <w:rPr>
          <w:rFonts w:ascii="Times New Roman" w:hAnsi="Times New Roman" w:cs="Times New Roman"/>
          <w:sz w:val="24"/>
          <w:szCs w:val="24"/>
        </w:rPr>
        <w:t xml:space="preserve"> dolgusu olarak kullanılması amaçlanan maddeler, maddelerin kombinasyonları ya da gereçler; </w:t>
      </w:r>
    </w:p>
    <w:p w:rsidR="00956B03" w:rsidRPr="00956B03" w:rsidRDefault="00956B03" w:rsidP="00956B03">
      <w:pPr>
        <w:pStyle w:val="ListeParagraf"/>
        <w:numPr>
          <w:ilvl w:val="0"/>
          <w:numId w:val="4"/>
        </w:numPr>
        <w:spacing w:after="0" w:line="240" w:lineRule="auto"/>
        <w:jc w:val="both"/>
        <w:rPr>
          <w:rFonts w:ascii="Times New Roman" w:hAnsi="Times New Roman" w:cs="Times New Roman"/>
          <w:sz w:val="24"/>
          <w:szCs w:val="24"/>
        </w:rPr>
      </w:pPr>
      <w:r w:rsidRPr="00956B03">
        <w:rPr>
          <w:rFonts w:ascii="Times New Roman" w:hAnsi="Times New Roman" w:cs="Times New Roman"/>
          <w:sz w:val="24"/>
          <w:szCs w:val="24"/>
        </w:rPr>
        <w:t xml:space="preserve">Liposakşın, </w:t>
      </w:r>
      <w:proofErr w:type="spellStart"/>
      <w:r w:rsidRPr="00956B03">
        <w:rPr>
          <w:rFonts w:ascii="Times New Roman" w:hAnsi="Times New Roman" w:cs="Times New Roman"/>
          <w:sz w:val="24"/>
          <w:szCs w:val="24"/>
        </w:rPr>
        <w:t>lipoliz</w:t>
      </w:r>
      <w:proofErr w:type="spellEnd"/>
      <w:r w:rsidRPr="00956B03">
        <w:rPr>
          <w:rFonts w:ascii="Times New Roman" w:hAnsi="Times New Roman" w:cs="Times New Roman"/>
          <w:sz w:val="24"/>
          <w:szCs w:val="24"/>
        </w:rPr>
        <w:t xml:space="preserve"> veya </w:t>
      </w:r>
      <w:proofErr w:type="spellStart"/>
      <w:r w:rsidRPr="00956B03">
        <w:rPr>
          <w:rFonts w:ascii="Times New Roman" w:hAnsi="Times New Roman" w:cs="Times New Roman"/>
          <w:sz w:val="24"/>
          <w:szCs w:val="24"/>
        </w:rPr>
        <w:t>lipoplastiye</w:t>
      </w:r>
      <w:proofErr w:type="spellEnd"/>
      <w:r w:rsidRPr="00956B03">
        <w:rPr>
          <w:rFonts w:ascii="Times New Roman" w:hAnsi="Times New Roman" w:cs="Times New Roman"/>
          <w:sz w:val="24"/>
          <w:szCs w:val="24"/>
        </w:rPr>
        <w:t xml:space="preserve"> yönelik </w:t>
      </w:r>
      <w:proofErr w:type="gramStart"/>
      <w:r w:rsidRPr="00956B03">
        <w:rPr>
          <w:rFonts w:ascii="Times New Roman" w:hAnsi="Times New Roman" w:cs="Times New Roman"/>
          <w:sz w:val="24"/>
          <w:szCs w:val="24"/>
        </w:rPr>
        <w:t>ekipman</w:t>
      </w:r>
      <w:proofErr w:type="gramEnd"/>
      <w:r w:rsidRPr="00956B03">
        <w:rPr>
          <w:rFonts w:ascii="Times New Roman" w:hAnsi="Times New Roman" w:cs="Times New Roman"/>
          <w:sz w:val="24"/>
          <w:szCs w:val="24"/>
        </w:rPr>
        <w:t xml:space="preserve"> gibi, yağ dokusunu azaltmak, uzaklaştırmak veya parçalamak için kullanılması amaçlanan ekipman; </w:t>
      </w:r>
    </w:p>
    <w:p w:rsidR="00956B03" w:rsidRPr="00956B03" w:rsidRDefault="00956B03" w:rsidP="00956B03">
      <w:pPr>
        <w:pStyle w:val="ListeParagraf"/>
        <w:numPr>
          <w:ilvl w:val="0"/>
          <w:numId w:val="4"/>
        </w:numPr>
        <w:spacing w:after="0" w:line="240" w:lineRule="auto"/>
        <w:jc w:val="both"/>
        <w:rPr>
          <w:rFonts w:ascii="Times New Roman" w:hAnsi="Times New Roman" w:cs="Times New Roman"/>
          <w:sz w:val="24"/>
          <w:szCs w:val="24"/>
        </w:rPr>
      </w:pPr>
      <w:r w:rsidRPr="00956B03">
        <w:rPr>
          <w:rFonts w:ascii="Times New Roman" w:hAnsi="Times New Roman" w:cs="Times New Roman"/>
          <w:sz w:val="24"/>
          <w:szCs w:val="24"/>
        </w:rPr>
        <w:t>Cilt yenilemeye, dövme silme veya tüy almaya ya da diğer cilt uygulamalarına yönelik lazerler ve yoğun atımlı ışık (IPL) ekipmanı gibi, monokromatik ve geniş spektrumda eş fazlı ve eş fazlı olmayan kaynaklar dâhil, insan vücudu üzerinde kullanılması amaçlanan yüksek yoğunluklu elektromanyetik radyasyon (örneğin, kızılötesi/</w:t>
      </w:r>
      <w:proofErr w:type="spellStart"/>
      <w:r w:rsidRPr="00956B03">
        <w:rPr>
          <w:rFonts w:ascii="Times New Roman" w:hAnsi="Times New Roman" w:cs="Times New Roman"/>
          <w:sz w:val="24"/>
          <w:szCs w:val="24"/>
        </w:rPr>
        <w:t>infrared</w:t>
      </w:r>
      <w:proofErr w:type="spellEnd"/>
      <w:r w:rsidRPr="00956B03">
        <w:rPr>
          <w:rFonts w:ascii="Times New Roman" w:hAnsi="Times New Roman" w:cs="Times New Roman"/>
          <w:sz w:val="24"/>
          <w:szCs w:val="24"/>
        </w:rPr>
        <w:t xml:space="preserve">, görünür ışık ve ultraviyole) yayan </w:t>
      </w:r>
      <w:proofErr w:type="gramStart"/>
      <w:r w:rsidRPr="00956B03">
        <w:rPr>
          <w:rFonts w:ascii="Times New Roman" w:hAnsi="Times New Roman" w:cs="Times New Roman"/>
          <w:sz w:val="24"/>
          <w:szCs w:val="24"/>
        </w:rPr>
        <w:t>ekipman</w:t>
      </w:r>
      <w:proofErr w:type="gramEnd"/>
      <w:r w:rsidRPr="00956B03">
        <w:rPr>
          <w:rFonts w:ascii="Times New Roman" w:hAnsi="Times New Roman" w:cs="Times New Roman"/>
          <w:sz w:val="24"/>
          <w:szCs w:val="24"/>
        </w:rPr>
        <w:t xml:space="preserve">; </w:t>
      </w:r>
    </w:p>
    <w:p w:rsidR="00956B03" w:rsidRPr="00956B03" w:rsidRDefault="00956B03" w:rsidP="00956B03">
      <w:pPr>
        <w:pStyle w:val="ListeParagraf"/>
        <w:numPr>
          <w:ilvl w:val="0"/>
          <w:numId w:val="4"/>
        </w:numPr>
        <w:spacing w:line="240" w:lineRule="auto"/>
        <w:ind w:left="714" w:hanging="357"/>
        <w:jc w:val="both"/>
        <w:rPr>
          <w:rFonts w:ascii="Times New Roman" w:hAnsi="Times New Roman" w:cs="Times New Roman"/>
          <w:sz w:val="24"/>
          <w:szCs w:val="24"/>
        </w:rPr>
      </w:pPr>
      <w:r w:rsidRPr="00956B03">
        <w:rPr>
          <w:rFonts w:ascii="Times New Roman" w:hAnsi="Times New Roman" w:cs="Times New Roman"/>
          <w:sz w:val="24"/>
          <w:szCs w:val="24"/>
        </w:rPr>
        <w:t xml:space="preserve">Beyindeki sinirsel aktiviteyi değiştirmek için kafatasına </w:t>
      </w:r>
      <w:proofErr w:type="spellStart"/>
      <w:r w:rsidRPr="00956B03">
        <w:rPr>
          <w:rFonts w:ascii="Times New Roman" w:hAnsi="Times New Roman" w:cs="Times New Roman"/>
          <w:sz w:val="24"/>
          <w:szCs w:val="24"/>
        </w:rPr>
        <w:t>penetre</w:t>
      </w:r>
      <w:proofErr w:type="spellEnd"/>
      <w:r w:rsidRPr="00956B03">
        <w:rPr>
          <w:rFonts w:ascii="Times New Roman" w:hAnsi="Times New Roman" w:cs="Times New Roman"/>
          <w:sz w:val="24"/>
          <w:szCs w:val="24"/>
        </w:rPr>
        <w:t xml:space="preserve"> olan elektrik akımları ya da manyetik veya elektromanyetik alanlar uygulayan beyin </w:t>
      </w:r>
      <w:proofErr w:type="spellStart"/>
      <w:r w:rsidRPr="00956B03">
        <w:rPr>
          <w:rFonts w:ascii="Times New Roman" w:hAnsi="Times New Roman" w:cs="Times New Roman"/>
          <w:sz w:val="24"/>
          <w:szCs w:val="24"/>
        </w:rPr>
        <w:t>stimülasyonu</w:t>
      </w:r>
      <w:proofErr w:type="spellEnd"/>
      <w:r w:rsidRPr="00956B03">
        <w:rPr>
          <w:rFonts w:ascii="Times New Roman" w:hAnsi="Times New Roman" w:cs="Times New Roman"/>
          <w:sz w:val="24"/>
          <w:szCs w:val="24"/>
        </w:rPr>
        <w:t xml:space="preserve"> amaçlı </w:t>
      </w:r>
      <w:proofErr w:type="gramStart"/>
      <w:r w:rsidRPr="00956B03">
        <w:rPr>
          <w:rFonts w:ascii="Times New Roman" w:hAnsi="Times New Roman" w:cs="Times New Roman"/>
          <w:sz w:val="24"/>
          <w:szCs w:val="24"/>
        </w:rPr>
        <w:t>ekipman</w:t>
      </w:r>
      <w:proofErr w:type="gramEnd"/>
      <w:r w:rsidRPr="00956B03">
        <w:rPr>
          <w:rFonts w:ascii="Times New Roman" w:hAnsi="Times New Roman" w:cs="Times New Roman"/>
          <w:sz w:val="24"/>
          <w:szCs w:val="24"/>
        </w:rPr>
        <w:t xml:space="preserve"> gibi ürünler </w:t>
      </w:r>
    </w:p>
    <w:p w:rsidR="00956B03" w:rsidRDefault="00956B03" w:rsidP="00956B03">
      <w:pPr>
        <w:spacing w:line="240" w:lineRule="auto"/>
        <w:jc w:val="both"/>
        <w:rPr>
          <w:rFonts w:ascii="Times New Roman" w:eastAsia="Times New Roman" w:hAnsi="Times New Roman" w:cs="Times New Roman"/>
          <w:sz w:val="24"/>
          <w:szCs w:val="24"/>
          <w:lang w:eastAsia="tr-TR"/>
        </w:rPr>
      </w:pPr>
      <w:proofErr w:type="gramStart"/>
      <w:r w:rsidRPr="00956B03">
        <w:rPr>
          <w:rFonts w:ascii="Times New Roman" w:eastAsia="Times New Roman" w:hAnsi="Times New Roman" w:cs="Times New Roman"/>
          <w:sz w:val="24"/>
          <w:szCs w:val="24"/>
          <w:lang w:eastAsia="tr-TR"/>
        </w:rPr>
        <w:t>bu</w:t>
      </w:r>
      <w:proofErr w:type="gramEnd"/>
      <w:r w:rsidRPr="00956B03">
        <w:rPr>
          <w:rFonts w:ascii="Times New Roman" w:eastAsia="Times New Roman" w:hAnsi="Times New Roman" w:cs="Times New Roman"/>
          <w:sz w:val="24"/>
          <w:szCs w:val="24"/>
          <w:lang w:eastAsia="tr-TR"/>
        </w:rPr>
        <w:t xml:space="preserve"> düzenlemeyle tıbbi cihaz olarak değerlendirilecektir. </w:t>
      </w:r>
    </w:p>
    <w:p w:rsidR="005A1815" w:rsidRPr="00D914FB" w:rsidRDefault="004B4855" w:rsidP="005A1815">
      <w:pPr>
        <w:spacing w:line="240" w:lineRule="auto"/>
        <w:ind w:firstLine="284"/>
        <w:jc w:val="both"/>
        <w:rPr>
          <w:rFonts w:ascii="Times New Roman" w:eastAsia="Times New Roman" w:hAnsi="Times New Roman" w:cs="Times New Roman"/>
          <w:color w:val="000000" w:themeColor="text1"/>
          <w:sz w:val="24"/>
          <w:szCs w:val="24"/>
          <w:lang w:eastAsia="tr-TR"/>
        </w:rPr>
      </w:pPr>
      <w:proofErr w:type="gramStart"/>
      <w:r w:rsidRPr="00D914FB">
        <w:rPr>
          <w:rFonts w:ascii="Times New Roman" w:eastAsia="Times New Roman" w:hAnsi="Times New Roman" w:cs="Times New Roman"/>
          <w:color w:val="000000" w:themeColor="text1"/>
          <w:sz w:val="24"/>
          <w:szCs w:val="24"/>
          <w:lang w:eastAsia="tr-TR"/>
        </w:rPr>
        <w:t xml:space="preserve">Ayrıca </w:t>
      </w:r>
      <w:r w:rsidR="005F6FF0" w:rsidRPr="00D914FB">
        <w:rPr>
          <w:rFonts w:ascii="Times New Roman" w:eastAsia="Times New Roman" w:hAnsi="Times New Roman" w:cs="Times New Roman"/>
          <w:color w:val="000000" w:themeColor="text1"/>
          <w:sz w:val="24"/>
          <w:szCs w:val="24"/>
          <w:lang w:eastAsia="tr-TR"/>
        </w:rPr>
        <w:t>Tıbbi Cihaz Tüzüğünün</w:t>
      </w:r>
      <w:r w:rsidR="003A49A5" w:rsidRPr="00D914FB">
        <w:rPr>
          <w:rFonts w:ascii="Times New Roman" w:eastAsia="Times New Roman" w:hAnsi="Times New Roman" w:cs="Times New Roman"/>
          <w:color w:val="000000" w:themeColor="text1"/>
          <w:sz w:val="24"/>
          <w:szCs w:val="24"/>
          <w:lang w:eastAsia="tr-TR"/>
        </w:rPr>
        <w:t xml:space="preserve"> Madde 1 (6) </w:t>
      </w:r>
      <w:r w:rsidR="005F6FF0" w:rsidRPr="00D914FB">
        <w:rPr>
          <w:rFonts w:ascii="Times New Roman" w:eastAsia="Times New Roman" w:hAnsi="Times New Roman" w:cs="Times New Roman"/>
          <w:color w:val="000000" w:themeColor="text1"/>
          <w:sz w:val="24"/>
          <w:szCs w:val="24"/>
          <w:lang w:eastAsia="tr-TR"/>
        </w:rPr>
        <w:t xml:space="preserve"> </w:t>
      </w:r>
      <w:r w:rsidR="003A49A5" w:rsidRPr="00D914FB">
        <w:rPr>
          <w:rFonts w:ascii="Times New Roman" w:eastAsia="Times New Roman" w:hAnsi="Times New Roman" w:cs="Times New Roman"/>
          <w:color w:val="000000" w:themeColor="text1"/>
          <w:sz w:val="24"/>
          <w:szCs w:val="24"/>
          <w:lang w:eastAsia="tr-TR"/>
        </w:rPr>
        <w:t>h)  bendinde</w:t>
      </w:r>
      <w:r w:rsidR="005A1815" w:rsidRPr="00D914FB">
        <w:rPr>
          <w:rFonts w:ascii="Times New Roman" w:eastAsia="Times New Roman" w:hAnsi="Times New Roman" w:cs="Times New Roman"/>
          <w:color w:val="000000" w:themeColor="text1"/>
          <w:sz w:val="24"/>
          <w:szCs w:val="24"/>
          <w:lang w:eastAsia="tr-TR"/>
        </w:rPr>
        <w:t xml:space="preserve">;  Söz konusu maddenin  </w:t>
      </w:r>
      <w:r w:rsidR="003A49A5" w:rsidRPr="00D914FB">
        <w:rPr>
          <w:rFonts w:ascii="Times New Roman" w:eastAsia="Times New Roman" w:hAnsi="Times New Roman" w:cs="Times New Roman"/>
          <w:color w:val="000000" w:themeColor="text1"/>
          <w:sz w:val="24"/>
          <w:szCs w:val="24"/>
          <w:lang w:eastAsia="tr-TR"/>
        </w:rPr>
        <w:t>(d), (f) ve (g) bentlerinde atıfta bulunulan ürünlerden farklı olarak, ürünün kullanım amacını gerçekleştirmek veya desteklemek amacıyla, yaşayan mikro organizmalar, bakteriler, mantarlar veya virüsler dâhil canlı biyolojik materyal ya da canlı organizmalar içeren veya bunlardan oluşan ürünlere</w:t>
      </w:r>
      <w:r w:rsidR="005A1815" w:rsidRPr="00D914FB">
        <w:rPr>
          <w:rFonts w:ascii="Times New Roman" w:eastAsia="Times New Roman" w:hAnsi="Times New Roman" w:cs="Times New Roman"/>
          <w:color w:val="000000" w:themeColor="text1"/>
          <w:sz w:val="24"/>
          <w:szCs w:val="24"/>
          <w:lang w:eastAsia="tr-TR"/>
        </w:rPr>
        <w:t xml:space="preserve"> bu tüzüğün uygulanmayacağı hükmü</w:t>
      </w:r>
      <w:r w:rsidR="008B5EBA">
        <w:rPr>
          <w:rFonts w:ascii="Times New Roman" w:eastAsia="Times New Roman" w:hAnsi="Times New Roman" w:cs="Times New Roman"/>
          <w:color w:val="000000" w:themeColor="text1"/>
          <w:sz w:val="24"/>
          <w:szCs w:val="24"/>
          <w:lang w:eastAsia="tr-TR"/>
        </w:rPr>
        <w:t xml:space="preserve"> </w:t>
      </w:r>
      <w:r w:rsidR="005A1815" w:rsidRPr="00D914FB">
        <w:rPr>
          <w:rFonts w:ascii="Times New Roman" w:eastAsia="Times New Roman" w:hAnsi="Times New Roman" w:cs="Times New Roman"/>
          <w:color w:val="000000" w:themeColor="text1"/>
          <w:sz w:val="24"/>
          <w:szCs w:val="24"/>
          <w:lang w:eastAsia="tr-TR"/>
        </w:rPr>
        <w:t xml:space="preserve">yer almaktadır. </w:t>
      </w:r>
      <w:proofErr w:type="gramEnd"/>
    </w:p>
    <w:p w:rsidR="004B4855" w:rsidRPr="0089650F" w:rsidRDefault="005A1815" w:rsidP="005A1815">
      <w:pPr>
        <w:spacing w:line="240" w:lineRule="auto"/>
        <w:ind w:firstLine="284"/>
        <w:jc w:val="both"/>
        <w:rPr>
          <w:rFonts w:ascii="Times New Roman" w:eastAsia="Times New Roman" w:hAnsi="Times New Roman" w:cs="Times New Roman"/>
          <w:color w:val="FF0000"/>
          <w:sz w:val="24"/>
          <w:szCs w:val="24"/>
          <w:lang w:eastAsia="tr-TR"/>
        </w:rPr>
      </w:pPr>
      <w:r w:rsidRPr="00D914FB">
        <w:rPr>
          <w:rFonts w:ascii="Times New Roman" w:eastAsia="Times New Roman" w:hAnsi="Times New Roman" w:cs="Times New Roman"/>
          <w:color w:val="000000" w:themeColor="text1"/>
          <w:sz w:val="24"/>
          <w:szCs w:val="24"/>
          <w:lang w:eastAsia="tr-TR"/>
        </w:rPr>
        <w:t>Bu kapsamda AB ‘</w:t>
      </w:r>
      <w:proofErr w:type="spellStart"/>
      <w:r w:rsidRPr="00D914FB">
        <w:rPr>
          <w:rFonts w:ascii="Times New Roman" w:eastAsia="Times New Roman" w:hAnsi="Times New Roman" w:cs="Times New Roman"/>
          <w:color w:val="000000" w:themeColor="text1"/>
          <w:sz w:val="24"/>
          <w:szCs w:val="24"/>
          <w:lang w:eastAsia="tr-TR"/>
        </w:rPr>
        <w:t>nin</w:t>
      </w:r>
      <w:proofErr w:type="spellEnd"/>
      <w:r w:rsidRPr="00D914FB">
        <w:rPr>
          <w:rFonts w:ascii="Times New Roman" w:eastAsia="Times New Roman" w:hAnsi="Times New Roman" w:cs="Times New Roman"/>
          <w:color w:val="000000" w:themeColor="text1"/>
          <w:sz w:val="24"/>
          <w:szCs w:val="24"/>
          <w:lang w:eastAsia="tr-TR"/>
        </w:rPr>
        <w:t xml:space="preserve"> mevcut tıbbi cihaz mevzuat</w:t>
      </w:r>
      <w:r w:rsidR="0089650F" w:rsidRPr="00D914FB">
        <w:rPr>
          <w:rFonts w:ascii="Times New Roman" w:eastAsia="Times New Roman" w:hAnsi="Times New Roman" w:cs="Times New Roman"/>
          <w:color w:val="000000" w:themeColor="text1"/>
          <w:sz w:val="24"/>
          <w:szCs w:val="24"/>
          <w:lang w:eastAsia="tr-TR"/>
        </w:rPr>
        <w:t>ı</w:t>
      </w:r>
      <w:r w:rsidRPr="00D914FB">
        <w:rPr>
          <w:rFonts w:ascii="Times New Roman" w:eastAsia="Times New Roman" w:hAnsi="Times New Roman" w:cs="Times New Roman"/>
          <w:color w:val="000000" w:themeColor="text1"/>
          <w:sz w:val="24"/>
          <w:szCs w:val="24"/>
          <w:lang w:eastAsia="tr-TR"/>
        </w:rPr>
        <w:t xml:space="preserve"> kapsamında piyasaya arz edilen </w:t>
      </w:r>
      <w:r w:rsidR="0089650F" w:rsidRPr="00D914FB">
        <w:rPr>
          <w:rFonts w:ascii="Times New Roman" w:eastAsia="Times New Roman" w:hAnsi="Times New Roman" w:cs="Times New Roman"/>
          <w:color w:val="000000" w:themeColor="text1"/>
          <w:sz w:val="24"/>
          <w:szCs w:val="24"/>
          <w:lang w:eastAsia="tr-TR"/>
        </w:rPr>
        <w:t xml:space="preserve">ve içeriğinde </w:t>
      </w:r>
      <w:proofErr w:type="spellStart"/>
      <w:r w:rsidR="0089650F" w:rsidRPr="00D914FB">
        <w:rPr>
          <w:rFonts w:ascii="Times New Roman" w:eastAsia="Times New Roman" w:hAnsi="Times New Roman" w:cs="Times New Roman"/>
          <w:color w:val="000000" w:themeColor="text1"/>
          <w:sz w:val="24"/>
          <w:szCs w:val="24"/>
          <w:lang w:eastAsia="tr-TR"/>
        </w:rPr>
        <w:t>probiyotik</w:t>
      </w:r>
      <w:proofErr w:type="spellEnd"/>
      <w:r w:rsidR="0089650F" w:rsidRPr="00D914FB">
        <w:rPr>
          <w:rFonts w:ascii="Times New Roman" w:eastAsia="Times New Roman" w:hAnsi="Times New Roman" w:cs="Times New Roman"/>
          <w:color w:val="000000" w:themeColor="text1"/>
          <w:sz w:val="24"/>
          <w:szCs w:val="24"/>
          <w:lang w:eastAsia="tr-TR"/>
        </w:rPr>
        <w:t xml:space="preserve"> içeren ürünler </w:t>
      </w:r>
      <w:r w:rsidR="00D914FB">
        <w:rPr>
          <w:rFonts w:ascii="Times New Roman" w:eastAsia="Times New Roman" w:hAnsi="Times New Roman" w:cs="Times New Roman"/>
          <w:color w:val="000000" w:themeColor="text1"/>
          <w:sz w:val="24"/>
          <w:szCs w:val="24"/>
          <w:lang w:eastAsia="tr-TR"/>
        </w:rPr>
        <w:t>y</w:t>
      </w:r>
      <w:r w:rsidR="0089650F" w:rsidRPr="00D914FB">
        <w:rPr>
          <w:rFonts w:ascii="Times New Roman" w:eastAsia="Times New Roman" w:hAnsi="Times New Roman" w:cs="Times New Roman"/>
          <w:color w:val="000000" w:themeColor="text1"/>
          <w:sz w:val="24"/>
          <w:szCs w:val="24"/>
          <w:lang w:eastAsia="tr-TR"/>
        </w:rPr>
        <w:t>eni Tüzük kapsamında tıbbi cihaz olarak değerlendirilmeyecektir</w:t>
      </w:r>
      <w:r w:rsidR="0089650F">
        <w:rPr>
          <w:rFonts w:ascii="Times New Roman" w:eastAsia="Times New Roman" w:hAnsi="Times New Roman" w:cs="Times New Roman"/>
          <w:color w:val="FF0000"/>
          <w:sz w:val="24"/>
          <w:szCs w:val="24"/>
          <w:lang w:eastAsia="tr-TR"/>
        </w:rPr>
        <w:t>.</w:t>
      </w:r>
      <w:r w:rsidR="0089650F" w:rsidRPr="0089650F">
        <w:rPr>
          <w:rFonts w:ascii="Times New Roman" w:eastAsia="Times New Roman" w:hAnsi="Times New Roman" w:cs="Times New Roman"/>
          <w:color w:val="FF0000"/>
          <w:sz w:val="24"/>
          <w:szCs w:val="24"/>
          <w:lang w:eastAsia="tr-TR"/>
        </w:rPr>
        <w:t xml:space="preserve">  </w:t>
      </w:r>
    </w:p>
    <w:p w:rsidR="00956B03" w:rsidRPr="00956B03" w:rsidRDefault="00956B03" w:rsidP="00956B03">
      <w:pPr>
        <w:spacing w:line="240" w:lineRule="auto"/>
        <w:jc w:val="both"/>
        <w:rPr>
          <w:rFonts w:ascii="Times New Roman" w:eastAsia="Helvetica Neue Light" w:hAnsi="Times New Roman" w:cs="Times New Roman"/>
          <w:bCs/>
          <w:kern w:val="24"/>
          <w:sz w:val="24"/>
          <w:szCs w:val="24"/>
        </w:rPr>
      </w:pPr>
      <w:r w:rsidRPr="00956B03">
        <w:rPr>
          <w:rFonts w:ascii="Times New Roman" w:hAnsi="Times New Roman" w:cs="Times New Roman"/>
          <w:sz w:val="24"/>
          <w:szCs w:val="24"/>
        </w:rPr>
        <w:tab/>
      </w:r>
      <w:r w:rsidR="00933EC1">
        <w:rPr>
          <w:rFonts w:ascii="Times New Roman" w:hAnsi="Times New Roman" w:cs="Times New Roman"/>
          <w:sz w:val="24"/>
          <w:szCs w:val="24"/>
        </w:rPr>
        <w:tab/>
      </w:r>
      <w:r w:rsidRPr="00956B03">
        <w:rPr>
          <w:rFonts w:ascii="Times New Roman" w:hAnsi="Times New Roman" w:cs="Times New Roman"/>
          <w:sz w:val="24"/>
          <w:szCs w:val="24"/>
        </w:rPr>
        <w:t xml:space="preserve">Yeni Tüzük kapsamında bahsi geçen düzenlemeler </w:t>
      </w:r>
      <w:proofErr w:type="gramStart"/>
      <w:r w:rsidRPr="00956B03">
        <w:rPr>
          <w:rFonts w:ascii="Times New Roman" w:hAnsi="Times New Roman" w:cs="Times New Roman"/>
          <w:sz w:val="24"/>
          <w:szCs w:val="24"/>
        </w:rPr>
        <w:t>ile,</w:t>
      </w:r>
      <w:proofErr w:type="gramEnd"/>
      <w:r w:rsidRPr="00956B03">
        <w:rPr>
          <w:rFonts w:ascii="Times New Roman" w:hAnsi="Times New Roman" w:cs="Times New Roman"/>
          <w:sz w:val="24"/>
          <w:szCs w:val="24"/>
        </w:rPr>
        <w:t xml:space="preserve"> ürünlerinizin yeniden sınıflandırılmasına gerek olup olmadığı konusunda değerlendirmelerin tarafınızca yapılması ve yeni </w:t>
      </w:r>
      <w:proofErr w:type="spellStart"/>
      <w:r w:rsidRPr="00956B03">
        <w:rPr>
          <w:rFonts w:ascii="Times New Roman" w:hAnsi="Times New Roman" w:cs="Times New Roman"/>
          <w:sz w:val="24"/>
          <w:szCs w:val="24"/>
        </w:rPr>
        <w:t>Tüzük’ün</w:t>
      </w:r>
      <w:proofErr w:type="spellEnd"/>
      <w:r w:rsidRPr="00956B03">
        <w:rPr>
          <w:rFonts w:ascii="Times New Roman" w:hAnsi="Times New Roman" w:cs="Times New Roman"/>
          <w:sz w:val="24"/>
          <w:szCs w:val="24"/>
        </w:rPr>
        <w:t xml:space="preserve"> ilgili ekleri doğrultusunda özellikle cihaz tanımı ve </w:t>
      </w:r>
      <w:proofErr w:type="spellStart"/>
      <w:r w:rsidRPr="00956B03">
        <w:rPr>
          <w:rFonts w:ascii="Times New Roman" w:hAnsi="Times New Roman" w:cs="Times New Roman"/>
          <w:sz w:val="24"/>
          <w:szCs w:val="24"/>
        </w:rPr>
        <w:t>spesifikasyonları</w:t>
      </w:r>
      <w:proofErr w:type="spellEnd"/>
      <w:r w:rsidRPr="00956B03">
        <w:rPr>
          <w:rFonts w:ascii="Times New Roman" w:hAnsi="Times New Roman" w:cs="Times New Roman"/>
          <w:sz w:val="24"/>
          <w:szCs w:val="24"/>
        </w:rPr>
        <w:t xml:space="preserve">, imalatçı tarafından temin edilecek bilgiler, tasarım ve imalat bilgileri, genel güvenlilik ve performans gereklilikleri, fayda-risk analizi ve risk yönetimi, ürün doğrulama ve </w:t>
      </w:r>
      <w:proofErr w:type="spellStart"/>
      <w:r w:rsidRPr="00956B03">
        <w:rPr>
          <w:rFonts w:ascii="Times New Roman" w:hAnsi="Times New Roman" w:cs="Times New Roman"/>
          <w:sz w:val="24"/>
          <w:szCs w:val="24"/>
        </w:rPr>
        <w:t>validasyon</w:t>
      </w:r>
      <w:proofErr w:type="spellEnd"/>
      <w:r w:rsidRPr="00956B03">
        <w:rPr>
          <w:rFonts w:ascii="Times New Roman" w:hAnsi="Times New Roman" w:cs="Times New Roman"/>
          <w:sz w:val="24"/>
          <w:szCs w:val="24"/>
        </w:rPr>
        <w:t xml:space="preserve"> bilgilerini içeren teknik dokümantasyonun hazırlanması gerekmektedir. </w:t>
      </w:r>
    </w:p>
    <w:p w:rsidR="00D24E59" w:rsidRDefault="00956B03" w:rsidP="00D24E59">
      <w:pPr>
        <w:spacing w:line="240" w:lineRule="auto"/>
        <w:ind w:firstLine="708"/>
        <w:jc w:val="both"/>
        <w:rPr>
          <w:rFonts w:ascii="Times New Roman" w:hAnsi="Times New Roman" w:cs="Times New Roman"/>
          <w:iCs/>
          <w:sz w:val="24"/>
          <w:szCs w:val="24"/>
        </w:rPr>
      </w:pPr>
      <w:proofErr w:type="gramStart"/>
      <w:r w:rsidRPr="00956B03">
        <w:rPr>
          <w:rFonts w:ascii="Times New Roman" w:hAnsi="Times New Roman" w:cs="Times New Roman"/>
          <w:iCs/>
          <w:sz w:val="24"/>
          <w:szCs w:val="24"/>
        </w:rPr>
        <w:t xml:space="preserve">Ürün güvenliliğini göstermeye yönelik testler, risk analizi, klinik araştırma ve klinik değerlendirme ile pazar sonrası takip gibi ürün güvenliliğine ilişkin konuların daha ön plana alındığı yeni düzenlemelerde, onaylanmış kuruluşların atanmasına yönelik yeni ve sıkı kuralların varlığı da dikkate alındığında, yeni gerekliliklere uyum sağlama noktasında tüm paydaşlarımızın zaman kaybetmeden uyum çalışmalarına başlaması önem arz etmektedir. </w:t>
      </w:r>
      <w:proofErr w:type="gramEnd"/>
    </w:p>
    <w:p w:rsidR="00161176" w:rsidRDefault="00D24E59" w:rsidP="00D24E59">
      <w:pPr>
        <w:tabs>
          <w:tab w:val="left" w:pos="709"/>
        </w:tabs>
        <w:ind w:firstLine="709"/>
        <w:jc w:val="both"/>
        <w:rPr>
          <w:rFonts w:ascii="Times New Roman" w:hAnsi="Times New Roman" w:cs="Times New Roman"/>
          <w:iCs/>
          <w:sz w:val="24"/>
          <w:szCs w:val="24"/>
        </w:rPr>
      </w:pPr>
      <w:bookmarkStart w:id="0" w:name="_GoBack"/>
      <w:bookmarkEnd w:id="0"/>
      <w:r w:rsidRPr="006864E2">
        <w:rPr>
          <w:rFonts w:ascii="Times New Roman" w:hAnsi="Times New Roman" w:cs="Times New Roman"/>
          <w:iCs/>
          <w:sz w:val="24"/>
          <w:szCs w:val="24"/>
        </w:rPr>
        <w:lastRenderedPageBreak/>
        <w:t>27.12.2019 tarihli ve L 334/165 sayılı AB Resmi Gazetesi’nde yayımlanan Düzeltme Metni</w:t>
      </w:r>
      <w:r w:rsidRPr="006864E2">
        <w:rPr>
          <w:rStyle w:val="DipnotBavurusu"/>
          <w:rFonts w:ascii="Times New Roman" w:hAnsi="Times New Roman" w:cs="Times New Roman"/>
          <w:iCs/>
          <w:sz w:val="24"/>
          <w:szCs w:val="24"/>
        </w:rPr>
        <w:footnoteReference w:id="3"/>
      </w:r>
      <w:r w:rsidRPr="006864E2">
        <w:rPr>
          <w:rFonts w:ascii="Times New Roman" w:hAnsi="Times New Roman" w:cs="Times New Roman"/>
          <w:iCs/>
          <w:sz w:val="24"/>
          <w:szCs w:val="24"/>
        </w:rPr>
        <w:t xml:space="preserve"> ile </w:t>
      </w:r>
      <w:proofErr w:type="spellStart"/>
      <w:r w:rsidR="00161176" w:rsidRPr="006864E2">
        <w:rPr>
          <w:rFonts w:ascii="Times New Roman" w:hAnsi="Times New Roman" w:cs="Times New Roman"/>
          <w:iCs/>
          <w:sz w:val="24"/>
          <w:szCs w:val="24"/>
        </w:rPr>
        <w:t>Tüzük’ün</w:t>
      </w:r>
      <w:proofErr w:type="spellEnd"/>
      <w:r w:rsidR="00161176" w:rsidRPr="006864E2">
        <w:rPr>
          <w:rFonts w:ascii="Times New Roman" w:hAnsi="Times New Roman" w:cs="Times New Roman"/>
          <w:iCs/>
          <w:sz w:val="24"/>
          <w:szCs w:val="24"/>
        </w:rPr>
        <w:t xml:space="preserve"> 120. maddesinin 3. fıkrasına, </w:t>
      </w:r>
      <w:r w:rsidRPr="006864E2">
        <w:rPr>
          <w:rFonts w:ascii="Times New Roman" w:hAnsi="Times New Roman" w:cs="Times New Roman"/>
          <w:iCs/>
          <w:sz w:val="24"/>
          <w:szCs w:val="24"/>
        </w:rPr>
        <w:t xml:space="preserve">hâlihazırda yalnızca AB Uygunluk Beyanı ile piyasaya arz edilebilen ancak yeni Tüzük ile risk sınıfı yükselerek bir onaylanmış kuruluş değerlendirmesi gerektirecek olan sınıf I </w:t>
      </w:r>
      <w:r w:rsidR="00161176" w:rsidRPr="006864E2">
        <w:rPr>
          <w:rFonts w:ascii="Times New Roman" w:hAnsi="Times New Roman" w:cs="Times New Roman"/>
          <w:iCs/>
          <w:sz w:val="24"/>
          <w:szCs w:val="24"/>
        </w:rPr>
        <w:t xml:space="preserve">tıbbi cihazlar da eklenmiştir. Buna göre bu cihazlar da mevcut Direktifler kapsamında geçerli EC </w:t>
      </w:r>
      <w:proofErr w:type="spellStart"/>
      <w:r w:rsidR="00161176" w:rsidRPr="006864E2">
        <w:rPr>
          <w:rFonts w:ascii="Times New Roman" w:hAnsi="Times New Roman" w:cs="Times New Roman"/>
          <w:iCs/>
          <w:sz w:val="24"/>
          <w:szCs w:val="24"/>
        </w:rPr>
        <w:t>Sertifkalarına</w:t>
      </w:r>
      <w:proofErr w:type="spellEnd"/>
      <w:r w:rsidR="00161176" w:rsidRPr="006864E2">
        <w:rPr>
          <w:rFonts w:ascii="Times New Roman" w:hAnsi="Times New Roman" w:cs="Times New Roman"/>
          <w:iCs/>
          <w:sz w:val="24"/>
          <w:szCs w:val="24"/>
        </w:rPr>
        <w:t xml:space="preserve"> sahip cihazlar gibi 120. maddenin 3. fıkrası gerekliliklerinin karşılanması şartıyla 26.05.2024 tarihine kadar piyasaya arz edilebilecek veya hizmete sunulabilecektir.</w:t>
      </w:r>
      <w:r w:rsidR="00161176">
        <w:rPr>
          <w:rFonts w:ascii="Times New Roman" w:hAnsi="Times New Roman" w:cs="Times New Roman"/>
          <w:iCs/>
          <w:sz w:val="24"/>
          <w:szCs w:val="24"/>
        </w:rPr>
        <w:t xml:space="preserve"> </w:t>
      </w:r>
    </w:p>
    <w:p w:rsidR="00956B03" w:rsidRPr="00956B03" w:rsidRDefault="00956B03" w:rsidP="00956B03">
      <w:pPr>
        <w:spacing w:line="240" w:lineRule="auto"/>
        <w:ind w:firstLine="708"/>
        <w:jc w:val="both"/>
        <w:rPr>
          <w:rFonts w:ascii="Times New Roman" w:hAnsi="Times New Roman" w:cs="Times New Roman"/>
          <w:sz w:val="24"/>
          <w:szCs w:val="24"/>
        </w:rPr>
      </w:pPr>
      <w:r w:rsidRPr="00956B03">
        <w:rPr>
          <w:rFonts w:ascii="Times New Roman" w:hAnsi="Times New Roman" w:cs="Times New Roman"/>
          <w:sz w:val="24"/>
          <w:szCs w:val="24"/>
        </w:rPr>
        <w:t xml:space="preserve">Söz konusu düzenlemeler ile yeni Tüzük kapsamında ürünlerinizin yeniden sınıflandırılmasına gerek olup olmadığının tarafınızca değerlendirilmesi ve bununla ilgili iş ve işlemlere ivedilikle başlanması gerektiği hususunda; </w:t>
      </w:r>
    </w:p>
    <w:p w:rsidR="001F1430" w:rsidRPr="00FD0177" w:rsidRDefault="00956B03" w:rsidP="00FD0177">
      <w:pPr>
        <w:spacing w:line="240" w:lineRule="auto"/>
        <w:ind w:firstLine="708"/>
        <w:jc w:val="both"/>
        <w:rPr>
          <w:rFonts w:ascii="Times New Roman" w:hAnsi="Times New Roman" w:cs="Times New Roman"/>
          <w:iCs/>
          <w:sz w:val="24"/>
          <w:szCs w:val="24"/>
        </w:rPr>
      </w:pPr>
      <w:r w:rsidRPr="00956B03">
        <w:rPr>
          <w:rFonts w:ascii="Times New Roman" w:hAnsi="Times New Roman" w:cs="Times New Roman"/>
          <w:sz w:val="24"/>
          <w:szCs w:val="24"/>
        </w:rPr>
        <w:t>Bilgilerinizi ve gereğini rica ederim.</w:t>
      </w:r>
    </w:p>
    <w:sectPr w:rsidR="001F1430" w:rsidRPr="00FD0177" w:rsidSect="00FD0177">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35" w:rsidRDefault="003C1C35" w:rsidP="0003774A">
      <w:pPr>
        <w:spacing w:after="0" w:line="240" w:lineRule="auto"/>
      </w:pPr>
      <w:r>
        <w:separator/>
      </w:r>
    </w:p>
  </w:endnote>
  <w:endnote w:type="continuationSeparator" w:id="0">
    <w:p w:rsidR="003C1C35" w:rsidRDefault="003C1C35" w:rsidP="0003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Neue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4FB" w:rsidRDefault="00D914FB">
    <w:pPr>
      <w:pStyle w:val="AltBilgi"/>
    </w:pPr>
    <w:r w:rsidRPr="00D914FB">
      <w:t>Rev.</w:t>
    </w:r>
    <w:r w:rsidR="00161176">
      <w:t>2</w:t>
    </w:r>
    <w:r w:rsidRPr="00D914FB">
      <w:t>/</w:t>
    </w:r>
    <w:r w:rsidR="00161176">
      <w:t>30.12</w:t>
    </w:r>
    <w:r w:rsidRPr="00D914FB">
      <w:t>.2019</w:t>
    </w:r>
  </w:p>
  <w:p w:rsidR="0003774A" w:rsidRDefault="000377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35" w:rsidRDefault="003C1C35" w:rsidP="0003774A">
      <w:pPr>
        <w:spacing w:after="0" w:line="240" w:lineRule="auto"/>
      </w:pPr>
      <w:r>
        <w:separator/>
      </w:r>
    </w:p>
  </w:footnote>
  <w:footnote w:type="continuationSeparator" w:id="0">
    <w:p w:rsidR="003C1C35" w:rsidRDefault="003C1C35" w:rsidP="0003774A">
      <w:pPr>
        <w:spacing w:after="0" w:line="240" w:lineRule="auto"/>
      </w:pPr>
      <w:r>
        <w:continuationSeparator/>
      </w:r>
    </w:p>
  </w:footnote>
  <w:footnote w:id="1">
    <w:p w:rsidR="00956B03" w:rsidRDefault="00956B03" w:rsidP="00956B03">
      <w:pPr>
        <w:pStyle w:val="DipnotMetni"/>
      </w:pPr>
      <w:r>
        <w:rPr>
          <w:rStyle w:val="DipnotBavurusu"/>
        </w:rPr>
        <w:footnoteRef/>
      </w:r>
      <w:r>
        <w:t xml:space="preserve"> </w:t>
      </w:r>
      <w:hyperlink r:id="rId1" w:history="1">
        <w:r>
          <w:rPr>
            <w:rStyle w:val="Kpr"/>
          </w:rPr>
          <w:t>https://eur-lex.europa.eu/legal-content/EN/TXT/PDF/?uri=CELEX:32017R0745</w:t>
        </w:r>
      </w:hyperlink>
      <w:r>
        <w:t xml:space="preserve"> </w:t>
      </w:r>
    </w:p>
  </w:footnote>
  <w:footnote w:id="2">
    <w:p w:rsidR="00956B03" w:rsidRDefault="00956B03" w:rsidP="00956B03">
      <w:pPr>
        <w:pStyle w:val="DipnotMetni"/>
        <w:rPr>
          <w:color w:val="0000FF"/>
          <w:sz w:val="22"/>
          <w:szCs w:val="22"/>
          <w:u w:val="single"/>
        </w:rPr>
      </w:pPr>
      <w:r>
        <w:rPr>
          <w:rStyle w:val="DipnotBavurusu"/>
        </w:rPr>
        <w:footnoteRef/>
      </w:r>
      <w:r>
        <w:t xml:space="preserve"> </w:t>
      </w:r>
      <w:hyperlink r:id="rId2" w:history="1">
        <w:r w:rsidRPr="00B964B3">
          <w:rPr>
            <w:color w:val="0000FF"/>
            <w:sz w:val="22"/>
            <w:szCs w:val="22"/>
            <w:u w:val="single"/>
          </w:rPr>
          <w:t>https://eur-lex.europa.eu/legal-content/EN/TXT/PDF/?uri=CELEX:32017R0746</w:t>
        </w:r>
      </w:hyperlink>
    </w:p>
    <w:p w:rsidR="00D914FB" w:rsidRDefault="00D914FB" w:rsidP="00956B03">
      <w:pPr>
        <w:pStyle w:val="DipnotMetni"/>
      </w:pPr>
    </w:p>
  </w:footnote>
  <w:footnote w:id="3">
    <w:p w:rsidR="00D24E59" w:rsidRDefault="00D24E59">
      <w:pPr>
        <w:pStyle w:val="DipnotMetni"/>
      </w:pPr>
      <w:r>
        <w:rPr>
          <w:rStyle w:val="DipnotBavurusu"/>
        </w:rPr>
        <w:footnoteRef/>
      </w:r>
      <w:r>
        <w:t xml:space="preserve"> </w:t>
      </w:r>
      <w:hyperlink r:id="rId3" w:history="1">
        <w:r>
          <w:rPr>
            <w:rStyle w:val="Kpr"/>
          </w:rPr>
          <w:t>https://eur-lex.europa.eu/legal-content/EN/TXT/PDF/?uri=CELEX:32017R0745R(02)&amp;from=EN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4A" w:rsidRDefault="006864E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6063" o:spid="_x0000_s2050" type="#_x0000_t75" style="position:absolute;margin-left:0;margin-top:0;width:452.8pt;height:452.8pt;z-index:-251657216;mso-position-horizontal:center;mso-position-horizontal-relative:margin;mso-position-vertical:center;mso-position-vertical-relative:margin" o:allowincell="f">
          <v:imagedata r:id="rId1" o:title="titck-logo-Artboard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4A" w:rsidRDefault="006864E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6064" o:spid="_x0000_s2051" type="#_x0000_t75" style="position:absolute;margin-left:0;margin-top:0;width:452.8pt;height:452.8pt;z-index:-251656192;mso-position-horizontal:center;mso-position-horizontal-relative:margin;mso-position-vertical:center;mso-position-vertical-relative:margin" o:allowincell="f">
          <v:imagedata r:id="rId1" o:title="titck-logo-Artboard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4A" w:rsidRDefault="006864E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6062" o:spid="_x0000_s2049" type="#_x0000_t75" style="position:absolute;margin-left:0;margin-top:0;width:452.8pt;height:452.8pt;z-index:-251658240;mso-position-horizontal:center;mso-position-horizontal-relative:margin;mso-position-vertical:center;mso-position-vertical-relative:margin" o:allowincell="f">
          <v:imagedata r:id="rId1" o:title="titck-logo-Artboard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1732"/>
    <w:multiLevelType w:val="hybridMultilevel"/>
    <w:tmpl w:val="8AE85A30"/>
    <w:lvl w:ilvl="0" w:tplc="7EEA65E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90A0716"/>
    <w:multiLevelType w:val="hybridMultilevel"/>
    <w:tmpl w:val="87D2EFA0"/>
    <w:lvl w:ilvl="0" w:tplc="C6043D3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4B2F29"/>
    <w:multiLevelType w:val="hybridMultilevel"/>
    <w:tmpl w:val="2BCA2FB6"/>
    <w:lvl w:ilvl="0" w:tplc="B2BE9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A7488F"/>
    <w:multiLevelType w:val="hybridMultilevel"/>
    <w:tmpl w:val="C264F6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28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45"/>
    <w:rsid w:val="00003C91"/>
    <w:rsid w:val="000115EF"/>
    <w:rsid w:val="0003774A"/>
    <w:rsid w:val="000425D7"/>
    <w:rsid w:val="00046CC6"/>
    <w:rsid w:val="00055ACB"/>
    <w:rsid w:val="00061938"/>
    <w:rsid w:val="000A3244"/>
    <w:rsid w:val="000A7B35"/>
    <w:rsid w:val="00103DBA"/>
    <w:rsid w:val="00133D38"/>
    <w:rsid w:val="00161176"/>
    <w:rsid w:val="001811FF"/>
    <w:rsid w:val="0018499C"/>
    <w:rsid w:val="00192826"/>
    <w:rsid w:val="001D172A"/>
    <w:rsid w:val="001F1430"/>
    <w:rsid w:val="001F520C"/>
    <w:rsid w:val="0021455B"/>
    <w:rsid w:val="002527E2"/>
    <w:rsid w:val="002A00B2"/>
    <w:rsid w:val="002A0455"/>
    <w:rsid w:val="002B2963"/>
    <w:rsid w:val="002D3BAC"/>
    <w:rsid w:val="002E59C9"/>
    <w:rsid w:val="002E62A4"/>
    <w:rsid w:val="00316E4A"/>
    <w:rsid w:val="0036661B"/>
    <w:rsid w:val="0037766F"/>
    <w:rsid w:val="00384750"/>
    <w:rsid w:val="003A0797"/>
    <w:rsid w:val="003A49A5"/>
    <w:rsid w:val="003C1C35"/>
    <w:rsid w:val="003C2945"/>
    <w:rsid w:val="003E6288"/>
    <w:rsid w:val="003F181D"/>
    <w:rsid w:val="003F7A36"/>
    <w:rsid w:val="004155CA"/>
    <w:rsid w:val="004312DE"/>
    <w:rsid w:val="00455027"/>
    <w:rsid w:val="004939A1"/>
    <w:rsid w:val="004B4855"/>
    <w:rsid w:val="004B6E9E"/>
    <w:rsid w:val="004E3A64"/>
    <w:rsid w:val="004E4728"/>
    <w:rsid w:val="004F5FC8"/>
    <w:rsid w:val="0058304C"/>
    <w:rsid w:val="005832CB"/>
    <w:rsid w:val="005A1815"/>
    <w:rsid w:val="005A2288"/>
    <w:rsid w:val="005B13E4"/>
    <w:rsid w:val="005C5772"/>
    <w:rsid w:val="005F6FF0"/>
    <w:rsid w:val="005F73C7"/>
    <w:rsid w:val="006352C0"/>
    <w:rsid w:val="00640335"/>
    <w:rsid w:val="006509EA"/>
    <w:rsid w:val="0067237D"/>
    <w:rsid w:val="006864E2"/>
    <w:rsid w:val="00687F84"/>
    <w:rsid w:val="006F7DBC"/>
    <w:rsid w:val="0070044B"/>
    <w:rsid w:val="007067B8"/>
    <w:rsid w:val="0072270C"/>
    <w:rsid w:val="00736B05"/>
    <w:rsid w:val="007B0E19"/>
    <w:rsid w:val="007D58EA"/>
    <w:rsid w:val="007F0D25"/>
    <w:rsid w:val="00815922"/>
    <w:rsid w:val="00845194"/>
    <w:rsid w:val="00871848"/>
    <w:rsid w:val="0089650F"/>
    <w:rsid w:val="008B5EBA"/>
    <w:rsid w:val="008C13C6"/>
    <w:rsid w:val="008D19C4"/>
    <w:rsid w:val="008E2925"/>
    <w:rsid w:val="00933EC1"/>
    <w:rsid w:val="009424E0"/>
    <w:rsid w:val="00956B03"/>
    <w:rsid w:val="00957118"/>
    <w:rsid w:val="00964B2C"/>
    <w:rsid w:val="00980A89"/>
    <w:rsid w:val="009909AE"/>
    <w:rsid w:val="009C482E"/>
    <w:rsid w:val="009D5892"/>
    <w:rsid w:val="00A043EB"/>
    <w:rsid w:val="00A13C93"/>
    <w:rsid w:val="00A319AC"/>
    <w:rsid w:val="00AA07E2"/>
    <w:rsid w:val="00AF1DF7"/>
    <w:rsid w:val="00B162D3"/>
    <w:rsid w:val="00B4023D"/>
    <w:rsid w:val="00B541EF"/>
    <w:rsid w:val="00B7325D"/>
    <w:rsid w:val="00B74811"/>
    <w:rsid w:val="00B75608"/>
    <w:rsid w:val="00B80984"/>
    <w:rsid w:val="00B83645"/>
    <w:rsid w:val="00BA0259"/>
    <w:rsid w:val="00C61C40"/>
    <w:rsid w:val="00CE68CD"/>
    <w:rsid w:val="00D03002"/>
    <w:rsid w:val="00D12418"/>
    <w:rsid w:val="00D24E59"/>
    <w:rsid w:val="00D25EBB"/>
    <w:rsid w:val="00D672C7"/>
    <w:rsid w:val="00D80F5D"/>
    <w:rsid w:val="00D914FB"/>
    <w:rsid w:val="00D9220C"/>
    <w:rsid w:val="00D92B22"/>
    <w:rsid w:val="00DD1057"/>
    <w:rsid w:val="00DF26A7"/>
    <w:rsid w:val="00E65CD3"/>
    <w:rsid w:val="00EF7AE0"/>
    <w:rsid w:val="00EF7D5B"/>
    <w:rsid w:val="00F0239F"/>
    <w:rsid w:val="00F62E03"/>
    <w:rsid w:val="00F91C8C"/>
    <w:rsid w:val="00FB19D7"/>
    <w:rsid w:val="00FB4A2A"/>
    <w:rsid w:val="00FC122C"/>
    <w:rsid w:val="00FD0177"/>
    <w:rsid w:val="00FD2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F86403-3A9A-41B1-9EEF-E6C9965E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03"/>
  </w:style>
  <w:style w:type="paragraph" w:styleId="Balk1">
    <w:name w:val="heading 1"/>
    <w:basedOn w:val="Normal"/>
    <w:next w:val="Normal"/>
    <w:link w:val="Balk1Char"/>
    <w:uiPriority w:val="9"/>
    <w:qFormat/>
    <w:rsid w:val="006352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52C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8E2925"/>
    <w:pPr>
      <w:ind w:left="720"/>
      <w:contextualSpacing/>
    </w:pPr>
  </w:style>
  <w:style w:type="paragraph" w:styleId="BalonMetni">
    <w:name w:val="Balloon Text"/>
    <w:basedOn w:val="Normal"/>
    <w:link w:val="BalonMetniChar"/>
    <w:uiPriority w:val="99"/>
    <w:semiHidden/>
    <w:unhideWhenUsed/>
    <w:rsid w:val="00D25E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5EBB"/>
    <w:rPr>
      <w:rFonts w:ascii="Segoe UI" w:hAnsi="Segoe UI" w:cs="Segoe UI"/>
      <w:sz w:val="18"/>
      <w:szCs w:val="18"/>
    </w:rPr>
  </w:style>
  <w:style w:type="paragraph" w:styleId="stBilgi">
    <w:name w:val="header"/>
    <w:basedOn w:val="Normal"/>
    <w:link w:val="stBilgiChar"/>
    <w:uiPriority w:val="99"/>
    <w:unhideWhenUsed/>
    <w:rsid w:val="000377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774A"/>
  </w:style>
  <w:style w:type="paragraph" w:styleId="AltBilgi">
    <w:name w:val="footer"/>
    <w:basedOn w:val="Normal"/>
    <w:link w:val="AltBilgiChar"/>
    <w:uiPriority w:val="99"/>
    <w:unhideWhenUsed/>
    <w:rsid w:val="000377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774A"/>
  </w:style>
  <w:style w:type="paragraph" w:styleId="DipnotMetni">
    <w:name w:val="footnote text"/>
    <w:basedOn w:val="Normal"/>
    <w:link w:val="DipnotMetniChar"/>
    <w:uiPriority w:val="99"/>
    <w:semiHidden/>
    <w:unhideWhenUsed/>
    <w:rsid w:val="00956B0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56B03"/>
    <w:rPr>
      <w:sz w:val="20"/>
      <w:szCs w:val="20"/>
    </w:rPr>
  </w:style>
  <w:style w:type="character" w:styleId="DipnotBavurusu">
    <w:name w:val="footnote reference"/>
    <w:basedOn w:val="VarsaylanParagrafYazTipi"/>
    <w:uiPriority w:val="99"/>
    <w:semiHidden/>
    <w:unhideWhenUsed/>
    <w:rsid w:val="00956B03"/>
    <w:rPr>
      <w:vertAlign w:val="superscript"/>
    </w:rPr>
  </w:style>
  <w:style w:type="character" w:styleId="Kpr">
    <w:name w:val="Hyperlink"/>
    <w:basedOn w:val="VarsaylanParagrafYazTipi"/>
    <w:uiPriority w:val="99"/>
    <w:semiHidden/>
    <w:unhideWhenUsed/>
    <w:rsid w:val="00956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69188">
      <w:bodyDiv w:val="1"/>
      <w:marLeft w:val="0"/>
      <w:marRight w:val="0"/>
      <w:marTop w:val="0"/>
      <w:marBottom w:val="0"/>
      <w:divBdr>
        <w:top w:val="none" w:sz="0" w:space="0" w:color="auto"/>
        <w:left w:val="none" w:sz="0" w:space="0" w:color="auto"/>
        <w:bottom w:val="none" w:sz="0" w:space="0" w:color="auto"/>
        <w:right w:val="none" w:sz="0" w:space="0" w:color="auto"/>
      </w:divBdr>
    </w:div>
    <w:div w:id="1008210397">
      <w:bodyDiv w:val="1"/>
      <w:marLeft w:val="0"/>
      <w:marRight w:val="0"/>
      <w:marTop w:val="0"/>
      <w:marBottom w:val="0"/>
      <w:divBdr>
        <w:top w:val="none" w:sz="0" w:space="0" w:color="auto"/>
        <w:left w:val="none" w:sz="0" w:space="0" w:color="auto"/>
        <w:bottom w:val="none" w:sz="0" w:space="0" w:color="auto"/>
        <w:right w:val="none" w:sz="0" w:space="0" w:color="auto"/>
      </w:divBdr>
    </w:div>
    <w:div w:id="18055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7R0745R(02)&amp;from=EN" TargetMode="External"/><Relationship Id="rId2" Type="http://schemas.openxmlformats.org/officeDocument/2006/relationships/hyperlink" Target="https://eur-lex.europa.eu/legal-content/EN/TXT/PDF/?uri=CELEX:32017R0746" TargetMode="External"/><Relationship Id="rId1" Type="http://schemas.openxmlformats.org/officeDocument/2006/relationships/hyperlink" Target="https://eur-lex.europa.eu/legal-content/EN/TXT/PDF/?uri=CELEX:32017R07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444A-CCC1-4418-B41B-2BE4D698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1192</Words>
  <Characters>6800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Doğan ERDEN</dc:creator>
  <cp:keywords/>
  <dc:description/>
  <cp:lastModifiedBy>Işıl SOYLU</cp:lastModifiedBy>
  <cp:revision>4</cp:revision>
  <cp:lastPrinted>2019-09-13T14:26:00Z</cp:lastPrinted>
  <dcterms:created xsi:type="dcterms:W3CDTF">2019-12-09T08:25:00Z</dcterms:created>
  <dcterms:modified xsi:type="dcterms:W3CDTF">2019-12-30T13:04:00Z</dcterms:modified>
</cp:coreProperties>
</file>