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D449A" w14:textId="77777777" w:rsidR="00DC471C" w:rsidRPr="001F447B" w:rsidRDefault="00DC471C" w:rsidP="007C2EF6">
      <w:pPr>
        <w:spacing w:line="276" w:lineRule="auto"/>
        <w:ind w:right="230"/>
        <w:jc w:val="center"/>
        <w:rPr>
          <w:rFonts w:ascii="Times New Roman" w:hAnsi="Times New Roman" w:cs="Times New Roman"/>
          <w:b/>
          <w:bCs/>
          <w:sz w:val="24"/>
          <w:szCs w:val="24"/>
        </w:rPr>
      </w:pPr>
      <w:r w:rsidRPr="001F447B">
        <w:rPr>
          <w:rFonts w:ascii="Times New Roman" w:hAnsi="Times New Roman" w:cs="Times New Roman"/>
          <w:b/>
          <w:bCs/>
          <w:sz w:val="24"/>
          <w:szCs w:val="24"/>
        </w:rPr>
        <w:t>BİYOBENZER TIBBİ ÜRÜNLER</w:t>
      </w:r>
      <w:r w:rsidR="00EE24B4">
        <w:rPr>
          <w:rFonts w:ascii="Times New Roman" w:hAnsi="Times New Roman" w:cs="Times New Roman"/>
          <w:b/>
          <w:bCs/>
          <w:sz w:val="24"/>
          <w:szCs w:val="24"/>
        </w:rPr>
        <w:t xml:space="preserve"> HAKKINDA KILAVUZ</w:t>
      </w:r>
    </w:p>
    <w:p w14:paraId="17DDBB1D" w14:textId="77777777" w:rsidR="00EE24B4" w:rsidRDefault="00EE24B4" w:rsidP="00DB4055">
      <w:pPr>
        <w:pStyle w:val="ListeParagraf"/>
        <w:numPr>
          <w:ilvl w:val="0"/>
          <w:numId w:val="26"/>
        </w:numPr>
        <w:spacing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BÖLÜM</w:t>
      </w:r>
    </w:p>
    <w:p w14:paraId="306001FB" w14:textId="77777777" w:rsidR="00EE24B4" w:rsidRDefault="00836A85" w:rsidP="00DB4055">
      <w:pPr>
        <w:spacing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AMAÇ, KAPSAM, DAYANAK VE TANIMLAR</w:t>
      </w:r>
    </w:p>
    <w:p w14:paraId="6E38C7BB" w14:textId="77777777" w:rsidR="00DC471C" w:rsidRPr="00DB4055" w:rsidRDefault="00EE24B4" w:rsidP="00332F5B">
      <w:pPr>
        <w:spacing w:line="276" w:lineRule="auto"/>
        <w:ind w:left="34"/>
        <w:jc w:val="both"/>
        <w:outlineLvl w:val="0"/>
        <w:rPr>
          <w:rFonts w:ascii="Times New Roman" w:hAnsi="Times New Roman" w:cs="Times New Roman"/>
          <w:b/>
          <w:sz w:val="24"/>
          <w:szCs w:val="24"/>
        </w:rPr>
      </w:pPr>
      <w:r>
        <w:rPr>
          <w:rFonts w:ascii="Times New Roman" w:hAnsi="Times New Roman" w:cs="Times New Roman"/>
          <w:b/>
          <w:sz w:val="24"/>
          <w:szCs w:val="24"/>
        </w:rPr>
        <w:t>Amaç</w:t>
      </w:r>
    </w:p>
    <w:p w14:paraId="13535110" w14:textId="77777777" w:rsidR="00450DB6" w:rsidRDefault="00DC471C" w:rsidP="00327D21">
      <w:pPr>
        <w:spacing w:after="0" w:line="276" w:lineRule="auto"/>
        <w:jc w:val="both"/>
        <w:rPr>
          <w:rFonts w:ascii="Times New Roman" w:eastAsia="Calibri" w:hAnsi="Times New Roman" w:cs="Times New Roman"/>
          <w:sz w:val="24"/>
          <w:szCs w:val="24"/>
        </w:rPr>
      </w:pPr>
      <w:r w:rsidRPr="001F447B">
        <w:rPr>
          <w:rFonts w:ascii="Times New Roman" w:hAnsi="Times New Roman" w:cs="Times New Roman"/>
          <w:b/>
          <w:sz w:val="24"/>
          <w:szCs w:val="24"/>
        </w:rPr>
        <w:t>MADDE 1 -</w:t>
      </w:r>
      <w:r w:rsidRPr="001F447B">
        <w:rPr>
          <w:rFonts w:ascii="Times New Roman" w:hAnsi="Times New Roman" w:cs="Times New Roman"/>
          <w:sz w:val="24"/>
          <w:szCs w:val="24"/>
        </w:rPr>
        <w:t xml:space="preserve"> (1) </w:t>
      </w:r>
      <w:r w:rsidR="00EE24B4">
        <w:rPr>
          <w:rFonts w:ascii="Times New Roman" w:eastAsia="Calibri" w:hAnsi="Times New Roman" w:cs="Times New Roman"/>
          <w:sz w:val="24"/>
          <w:szCs w:val="24"/>
        </w:rPr>
        <w:t>Bu kılavuzun amacı;</w:t>
      </w:r>
      <w:r w:rsidR="00EE24B4" w:rsidRPr="00C01A07">
        <w:rPr>
          <w:rFonts w:ascii="Times New Roman" w:eastAsia="Calibri" w:hAnsi="Times New Roman" w:cs="Times New Roman"/>
          <w:sz w:val="24"/>
          <w:szCs w:val="24"/>
        </w:rPr>
        <w:t xml:space="preserve"> </w:t>
      </w:r>
      <w:proofErr w:type="spellStart"/>
      <w:r w:rsidR="00EE24B4" w:rsidRPr="00C01A07">
        <w:rPr>
          <w:rFonts w:ascii="Times New Roman" w:eastAsia="Calibri" w:hAnsi="Times New Roman" w:cs="Times New Roman"/>
          <w:sz w:val="24"/>
          <w:szCs w:val="24"/>
        </w:rPr>
        <w:t>biyobenzer</w:t>
      </w:r>
      <w:proofErr w:type="spellEnd"/>
      <w:r w:rsidR="00EE24B4" w:rsidRPr="00C01A07">
        <w:rPr>
          <w:rFonts w:ascii="Times New Roman" w:eastAsia="Calibri" w:hAnsi="Times New Roman" w:cs="Times New Roman"/>
          <w:sz w:val="24"/>
          <w:szCs w:val="24"/>
        </w:rPr>
        <w:t xml:space="preserve"> </w:t>
      </w:r>
      <w:r w:rsidR="00EE24B4">
        <w:rPr>
          <w:rFonts w:ascii="Times New Roman" w:eastAsia="Calibri" w:hAnsi="Times New Roman" w:cs="Times New Roman"/>
          <w:sz w:val="24"/>
          <w:szCs w:val="24"/>
        </w:rPr>
        <w:t xml:space="preserve">tıbbi </w:t>
      </w:r>
      <w:r w:rsidR="00EE24B4" w:rsidRPr="00C01A07">
        <w:rPr>
          <w:rFonts w:ascii="Times New Roman" w:eastAsia="Calibri" w:hAnsi="Times New Roman" w:cs="Times New Roman"/>
          <w:sz w:val="24"/>
          <w:szCs w:val="24"/>
        </w:rPr>
        <w:t>ürün kavramını tanımlamak ve</w:t>
      </w:r>
      <w:r w:rsidR="00EE24B4">
        <w:rPr>
          <w:rFonts w:ascii="Times New Roman" w:eastAsia="Calibri" w:hAnsi="Times New Roman" w:cs="Times New Roman"/>
          <w:sz w:val="24"/>
          <w:szCs w:val="24"/>
        </w:rPr>
        <w:t xml:space="preserve"> bu ürünlerin ruhsatlandırılması için</w:t>
      </w:r>
      <w:r w:rsidR="00EE24B4" w:rsidRPr="00C01A07">
        <w:rPr>
          <w:rFonts w:ascii="Times New Roman" w:eastAsia="Calibri" w:hAnsi="Times New Roman" w:cs="Times New Roman"/>
          <w:sz w:val="24"/>
          <w:szCs w:val="24"/>
        </w:rPr>
        <w:t xml:space="preserve"> uygulanacak genel ilkeleri belirlemektir</w:t>
      </w:r>
      <w:r w:rsidR="00EE24B4">
        <w:rPr>
          <w:rFonts w:ascii="Times New Roman" w:eastAsia="Calibri" w:hAnsi="Times New Roman" w:cs="Times New Roman"/>
          <w:sz w:val="24"/>
          <w:szCs w:val="24"/>
        </w:rPr>
        <w:t>.</w:t>
      </w:r>
      <w:r w:rsidR="00EE24B4" w:rsidRPr="001F447B">
        <w:rPr>
          <w:rFonts w:ascii="Times New Roman" w:eastAsia="Calibri" w:hAnsi="Times New Roman" w:cs="Times New Roman"/>
          <w:sz w:val="24"/>
          <w:szCs w:val="24"/>
        </w:rPr>
        <w:t xml:space="preserve"> </w:t>
      </w:r>
    </w:p>
    <w:p w14:paraId="4F026E34" w14:textId="04E3B9E9" w:rsidR="00DC471C" w:rsidRPr="00C01A07" w:rsidRDefault="00DC471C" w:rsidP="00327D21">
      <w:pPr>
        <w:spacing w:after="0" w:line="276" w:lineRule="auto"/>
        <w:jc w:val="both"/>
        <w:rPr>
          <w:rFonts w:ascii="Times New Roman" w:eastAsia="Calibri" w:hAnsi="Times New Roman" w:cs="Times New Roman"/>
          <w:sz w:val="24"/>
          <w:szCs w:val="24"/>
        </w:rPr>
      </w:pPr>
    </w:p>
    <w:p w14:paraId="2B4AAD04" w14:textId="77777777" w:rsidR="00D63541" w:rsidRPr="001F447B" w:rsidRDefault="00DC471C" w:rsidP="00327D21">
      <w:pPr>
        <w:spacing w:line="276" w:lineRule="auto"/>
        <w:jc w:val="both"/>
        <w:outlineLvl w:val="0"/>
        <w:rPr>
          <w:rFonts w:ascii="Times New Roman" w:hAnsi="Times New Roman" w:cs="Times New Roman"/>
          <w:b/>
          <w:sz w:val="24"/>
          <w:szCs w:val="24"/>
        </w:rPr>
      </w:pPr>
      <w:r w:rsidRPr="001F447B">
        <w:rPr>
          <w:rFonts w:ascii="Times New Roman" w:hAnsi="Times New Roman" w:cs="Times New Roman"/>
          <w:b/>
          <w:sz w:val="24"/>
          <w:szCs w:val="24"/>
        </w:rPr>
        <w:t>Kapsam</w:t>
      </w:r>
    </w:p>
    <w:p w14:paraId="1B460606" w14:textId="6E0522C4" w:rsidR="00D12B41" w:rsidRPr="00C01A07" w:rsidRDefault="00DC471C" w:rsidP="00D12B41">
      <w:pPr>
        <w:spacing w:after="0" w:line="276" w:lineRule="auto"/>
        <w:jc w:val="both"/>
        <w:rPr>
          <w:rFonts w:ascii="Times New Roman" w:eastAsia="Calibri" w:hAnsi="Times New Roman" w:cs="Times New Roman"/>
          <w:sz w:val="24"/>
          <w:szCs w:val="24"/>
        </w:rPr>
      </w:pPr>
      <w:r w:rsidRPr="00D40676">
        <w:rPr>
          <w:rFonts w:ascii="Times New Roman" w:hAnsi="Times New Roman" w:cs="Times New Roman"/>
          <w:b/>
          <w:sz w:val="24"/>
          <w:szCs w:val="24"/>
        </w:rPr>
        <w:t xml:space="preserve">MADDE </w:t>
      </w:r>
      <w:r w:rsidR="0075771D">
        <w:rPr>
          <w:rFonts w:ascii="Times New Roman" w:hAnsi="Times New Roman" w:cs="Times New Roman"/>
          <w:b/>
          <w:sz w:val="24"/>
          <w:szCs w:val="24"/>
        </w:rPr>
        <w:t>2</w:t>
      </w:r>
      <w:r w:rsidR="0075771D" w:rsidRPr="00D40676">
        <w:rPr>
          <w:rFonts w:ascii="Times New Roman" w:hAnsi="Times New Roman" w:cs="Times New Roman"/>
          <w:b/>
          <w:sz w:val="24"/>
          <w:szCs w:val="24"/>
        </w:rPr>
        <w:t xml:space="preserve"> </w:t>
      </w:r>
      <w:r w:rsidR="005B311D" w:rsidRPr="00D40676">
        <w:rPr>
          <w:rFonts w:ascii="Times New Roman" w:hAnsi="Times New Roman" w:cs="Times New Roman"/>
          <w:b/>
          <w:sz w:val="24"/>
          <w:szCs w:val="24"/>
        </w:rPr>
        <w:t>–</w:t>
      </w:r>
      <w:r w:rsidRPr="00D40676">
        <w:rPr>
          <w:rFonts w:ascii="Times New Roman" w:eastAsia="Calibri" w:hAnsi="Times New Roman" w:cs="Times New Roman"/>
          <w:sz w:val="24"/>
          <w:szCs w:val="24"/>
        </w:rPr>
        <w:t xml:space="preserve"> </w:t>
      </w:r>
      <w:r w:rsidR="005B311D" w:rsidRPr="00D40676">
        <w:rPr>
          <w:rFonts w:ascii="Times New Roman" w:eastAsia="Calibri" w:hAnsi="Times New Roman" w:cs="Times New Roman"/>
          <w:sz w:val="24"/>
          <w:szCs w:val="24"/>
        </w:rPr>
        <w:t>(1)</w:t>
      </w:r>
      <w:r w:rsidR="00EE24B4" w:rsidRPr="00D40676">
        <w:rPr>
          <w:rFonts w:ascii="Times New Roman" w:eastAsia="Calibri" w:hAnsi="Times New Roman" w:cs="Times New Roman"/>
          <w:sz w:val="24"/>
          <w:szCs w:val="24"/>
        </w:rPr>
        <w:t xml:space="preserve"> </w:t>
      </w:r>
      <w:r w:rsidR="00EE24B4" w:rsidRPr="00444B88">
        <w:rPr>
          <w:rFonts w:ascii="Times New Roman" w:eastAsia="Calibri" w:hAnsi="Times New Roman" w:cs="Times New Roman"/>
          <w:sz w:val="24"/>
          <w:szCs w:val="24"/>
        </w:rPr>
        <w:t xml:space="preserve">Bu kılavuz, </w:t>
      </w:r>
      <w:proofErr w:type="spellStart"/>
      <w:r w:rsidR="00EE24B4" w:rsidRPr="00444B88">
        <w:rPr>
          <w:rFonts w:ascii="Times New Roman" w:eastAsia="Calibri" w:hAnsi="Times New Roman" w:cs="Times New Roman"/>
          <w:sz w:val="24"/>
          <w:szCs w:val="24"/>
        </w:rPr>
        <w:t>biyobenzerler</w:t>
      </w:r>
      <w:proofErr w:type="spellEnd"/>
      <w:r w:rsidR="00EE24B4" w:rsidRPr="00444B88">
        <w:rPr>
          <w:rFonts w:ascii="Times New Roman" w:eastAsia="Calibri" w:hAnsi="Times New Roman" w:cs="Times New Roman"/>
          <w:sz w:val="24"/>
          <w:szCs w:val="24"/>
        </w:rPr>
        <w:t xml:space="preserve"> olarak da bilinen, benzer biyolojik tıbbi ürünler için uygulanacak genel ilkeleri özetlemekte ve</w:t>
      </w:r>
      <w:r w:rsidR="003B0663" w:rsidRPr="00444B88">
        <w:rPr>
          <w:rFonts w:ascii="Times New Roman" w:eastAsia="Calibri" w:hAnsi="Times New Roman" w:cs="Times New Roman"/>
          <w:sz w:val="24"/>
          <w:szCs w:val="24"/>
        </w:rPr>
        <w:t xml:space="preserve"> </w:t>
      </w:r>
      <w:proofErr w:type="spellStart"/>
      <w:r w:rsidR="003B0663" w:rsidRPr="00444B88">
        <w:rPr>
          <w:rFonts w:ascii="Times New Roman" w:eastAsia="Calibri" w:hAnsi="Times New Roman" w:cs="Times New Roman"/>
          <w:sz w:val="24"/>
          <w:szCs w:val="24"/>
        </w:rPr>
        <w:t>biyobenzerliği</w:t>
      </w:r>
      <w:proofErr w:type="spellEnd"/>
      <w:r w:rsidR="003B0663" w:rsidRPr="00444B88">
        <w:rPr>
          <w:rFonts w:ascii="Times New Roman" w:eastAsia="Calibri" w:hAnsi="Times New Roman" w:cs="Times New Roman"/>
          <w:sz w:val="24"/>
          <w:szCs w:val="24"/>
        </w:rPr>
        <w:t xml:space="preserve"> gösterme ilkelerini içermektedir.</w:t>
      </w:r>
      <w:r w:rsidR="00EE24B4" w:rsidRPr="00D40676">
        <w:rPr>
          <w:rFonts w:ascii="Times New Roman" w:eastAsia="Calibri" w:hAnsi="Times New Roman" w:cs="Times New Roman"/>
          <w:sz w:val="24"/>
          <w:szCs w:val="24"/>
        </w:rPr>
        <w:t xml:space="preserve"> </w:t>
      </w:r>
    </w:p>
    <w:p w14:paraId="0AAE0446" w14:textId="56139870" w:rsidR="00E54271" w:rsidRDefault="00D12B41" w:rsidP="00327D21">
      <w:pPr>
        <w:spacing w:after="0" w:line="276" w:lineRule="auto"/>
        <w:jc w:val="both"/>
        <w:rPr>
          <w:rFonts w:ascii="Times New Roman" w:eastAsia="Calibri" w:hAnsi="Times New Roman" w:cs="Times New Roman"/>
          <w:sz w:val="24"/>
          <w:szCs w:val="24"/>
        </w:rPr>
      </w:pPr>
      <w:r w:rsidRPr="00C01A07">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C01A07">
        <w:rPr>
          <w:rFonts w:ascii="Times New Roman" w:eastAsia="Calibri" w:hAnsi="Times New Roman" w:cs="Times New Roman"/>
          <w:sz w:val="24"/>
          <w:szCs w:val="24"/>
        </w:rPr>
        <w:t xml:space="preserve">Bu kılavuz, </w:t>
      </w:r>
      <w:proofErr w:type="spellStart"/>
      <w:r w:rsidRPr="00C01A07">
        <w:rPr>
          <w:rFonts w:ascii="Times New Roman" w:eastAsia="Calibri" w:hAnsi="Times New Roman" w:cs="Times New Roman"/>
          <w:sz w:val="24"/>
          <w:szCs w:val="24"/>
        </w:rPr>
        <w:t>rekombinant</w:t>
      </w:r>
      <w:proofErr w:type="spellEnd"/>
      <w:r w:rsidRPr="00C01A07">
        <w:rPr>
          <w:rFonts w:ascii="Times New Roman" w:eastAsia="Calibri" w:hAnsi="Times New Roman" w:cs="Times New Roman"/>
          <w:sz w:val="24"/>
          <w:szCs w:val="24"/>
        </w:rPr>
        <w:t xml:space="preserve"> DNA kaynaklı proteinleri ve türevlerini içeren </w:t>
      </w:r>
      <w:proofErr w:type="spellStart"/>
      <w:r w:rsidRPr="00C01A07">
        <w:rPr>
          <w:rFonts w:ascii="Times New Roman" w:eastAsia="Calibri" w:hAnsi="Times New Roman" w:cs="Times New Roman"/>
          <w:sz w:val="24"/>
          <w:szCs w:val="24"/>
        </w:rPr>
        <w:t>biyobenzer</w:t>
      </w:r>
      <w:proofErr w:type="spellEnd"/>
      <w:r w:rsidRPr="00C01A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tıbbi </w:t>
      </w:r>
      <w:r w:rsidRPr="00C01A07">
        <w:rPr>
          <w:rFonts w:ascii="Times New Roman" w:eastAsia="Calibri" w:hAnsi="Times New Roman" w:cs="Times New Roman"/>
          <w:sz w:val="24"/>
          <w:szCs w:val="24"/>
        </w:rPr>
        <w:t xml:space="preserve">ürünlerin </w:t>
      </w:r>
      <w:proofErr w:type="spellStart"/>
      <w:r w:rsidRPr="00C01A07">
        <w:rPr>
          <w:rFonts w:ascii="Times New Roman" w:eastAsia="Calibri" w:hAnsi="Times New Roman" w:cs="Times New Roman"/>
          <w:sz w:val="24"/>
          <w:szCs w:val="24"/>
        </w:rPr>
        <w:t>karşılaştırılabilirliğinin</w:t>
      </w:r>
      <w:proofErr w:type="spellEnd"/>
      <w:r w:rsidRPr="00C01A07">
        <w:rPr>
          <w:rFonts w:ascii="Times New Roman" w:eastAsia="Calibri" w:hAnsi="Times New Roman" w:cs="Times New Roman"/>
          <w:sz w:val="24"/>
          <w:szCs w:val="24"/>
        </w:rPr>
        <w:t xml:space="preserve"> kanıtlanması için kalite, klinik dışı ve klinik ile ilgili gerekliliklere açıklık getirmektedir. </w:t>
      </w:r>
    </w:p>
    <w:p w14:paraId="50E6B730" w14:textId="77777777" w:rsidR="00E54271" w:rsidRDefault="00E54271" w:rsidP="00327D2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F054C">
        <w:rPr>
          <w:rFonts w:ascii="Times New Roman" w:eastAsia="Calibri" w:hAnsi="Times New Roman" w:cs="Times New Roman"/>
          <w:sz w:val="24"/>
          <w:szCs w:val="24"/>
        </w:rPr>
        <w:t>3</w:t>
      </w:r>
      <w:r>
        <w:rPr>
          <w:rFonts w:ascii="Times New Roman" w:eastAsia="Calibri" w:hAnsi="Times New Roman" w:cs="Times New Roman"/>
          <w:sz w:val="24"/>
          <w:szCs w:val="24"/>
        </w:rPr>
        <w:t>) Bu kılavuzda açıklanan ilkeler, diğer biyolojik ürünler için de geçerli olabilir.</w:t>
      </w:r>
      <w:r w:rsidR="00B12399">
        <w:rPr>
          <w:rFonts w:ascii="Times New Roman" w:eastAsia="Calibri" w:hAnsi="Times New Roman" w:cs="Times New Roman"/>
          <w:sz w:val="24"/>
          <w:szCs w:val="24"/>
        </w:rPr>
        <w:t xml:space="preserve"> </w:t>
      </w:r>
    </w:p>
    <w:p w14:paraId="3E0E8A66" w14:textId="77777777" w:rsidR="00B91043" w:rsidRDefault="00B91043" w:rsidP="00327D21">
      <w:pPr>
        <w:spacing w:after="0" w:line="276" w:lineRule="auto"/>
        <w:jc w:val="both"/>
        <w:rPr>
          <w:rFonts w:ascii="Times New Roman" w:eastAsia="Calibri" w:hAnsi="Times New Roman" w:cs="Times New Roman"/>
          <w:sz w:val="24"/>
          <w:szCs w:val="24"/>
        </w:rPr>
      </w:pPr>
    </w:p>
    <w:p w14:paraId="4EE03C5A" w14:textId="77777777" w:rsidR="00F871B5" w:rsidRPr="001F447B" w:rsidRDefault="00113835" w:rsidP="00F871B5">
      <w:pPr>
        <w:spacing w:after="0" w:line="276" w:lineRule="auto"/>
        <w:jc w:val="both"/>
        <w:rPr>
          <w:rFonts w:ascii="Times New Roman" w:eastAsia="Calibri" w:hAnsi="Times New Roman" w:cs="Times New Roman"/>
          <w:sz w:val="24"/>
          <w:szCs w:val="24"/>
        </w:rPr>
      </w:pPr>
      <w:r w:rsidRPr="00A37454">
        <w:rPr>
          <w:rFonts w:ascii="Times New Roman" w:eastAsia="Calibri" w:hAnsi="Times New Roman" w:cs="Times New Roman"/>
          <w:sz w:val="24"/>
          <w:szCs w:val="24"/>
        </w:rPr>
        <w:t>(</w:t>
      </w:r>
      <w:r w:rsidR="00E54271">
        <w:rPr>
          <w:rFonts w:ascii="Times New Roman" w:eastAsia="Calibri" w:hAnsi="Times New Roman" w:cs="Times New Roman"/>
          <w:sz w:val="24"/>
          <w:szCs w:val="24"/>
        </w:rPr>
        <w:t>4</w:t>
      </w:r>
      <w:r w:rsidRPr="00A37454">
        <w:rPr>
          <w:rFonts w:ascii="Times New Roman" w:eastAsia="Calibri" w:hAnsi="Times New Roman" w:cs="Times New Roman"/>
          <w:sz w:val="24"/>
          <w:szCs w:val="24"/>
        </w:rPr>
        <w:t xml:space="preserve">) </w:t>
      </w:r>
      <w:r w:rsidRPr="00444B88">
        <w:rPr>
          <w:rFonts w:ascii="Times New Roman" w:eastAsia="Calibri" w:hAnsi="Times New Roman" w:cs="Times New Roman"/>
          <w:sz w:val="24"/>
          <w:szCs w:val="24"/>
        </w:rPr>
        <w:t xml:space="preserve">Kılavuz; referans tıbbi ürünün </w:t>
      </w:r>
      <w:r w:rsidR="00A37454" w:rsidRPr="00444B88">
        <w:rPr>
          <w:rFonts w:ascii="Times New Roman" w:eastAsia="Calibri" w:hAnsi="Times New Roman" w:cs="Times New Roman"/>
          <w:sz w:val="24"/>
          <w:szCs w:val="24"/>
        </w:rPr>
        <w:t xml:space="preserve">geliştirme ve üretim süreçleri </w:t>
      </w:r>
      <w:r w:rsidRPr="00444B88">
        <w:rPr>
          <w:rFonts w:ascii="Times New Roman" w:eastAsia="Calibri" w:hAnsi="Times New Roman" w:cs="Times New Roman"/>
          <w:sz w:val="24"/>
          <w:szCs w:val="24"/>
        </w:rPr>
        <w:t xml:space="preserve">ile ilgili gereklilikleri de ele </w:t>
      </w:r>
      <w:proofErr w:type="gramStart"/>
      <w:r w:rsidRPr="00444B88">
        <w:rPr>
          <w:rFonts w:ascii="Times New Roman" w:eastAsia="Calibri" w:hAnsi="Times New Roman" w:cs="Times New Roman"/>
          <w:sz w:val="24"/>
          <w:szCs w:val="24"/>
        </w:rPr>
        <w:t>almaktadır</w:t>
      </w:r>
      <w:proofErr w:type="gramEnd"/>
      <w:r w:rsidRPr="00444B88">
        <w:rPr>
          <w:rFonts w:ascii="Times New Roman" w:eastAsia="Calibri" w:hAnsi="Times New Roman" w:cs="Times New Roman"/>
          <w:sz w:val="24"/>
          <w:szCs w:val="24"/>
        </w:rPr>
        <w:t>.</w:t>
      </w:r>
      <w:r w:rsidR="00F871B5">
        <w:rPr>
          <w:rFonts w:ascii="Times New Roman" w:eastAsia="Calibri" w:hAnsi="Times New Roman" w:cs="Times New Roman"/>
          <w:sz w:val="24"/>
          <w:szCs w:val="24"/>
        </w:rPr>
        <w:t xml:space="preserve"> </w:t>
      </w:r>
      <w:r w:rsidR="00F871B5" w:rsidRPr="00D40676">
        <w:rPr>
          <w:rFonts w:ascii="Times New Roman" w:eastAsia="Calibri" w:hAnsi="Times New Roman" w:cs="Times New Roman"/>
          <w:sz w:val="24"/>
          <w:szCs w:val="24"/>
        </w:rPr>
        <w:t xml:space="preserve"> </w:t>
      </w:r>
    </w:p>
    <w:p w14:paraId="0B78259C" w14:textId="77777777" w:rsidR="00DC471C" w:rsidRPr="00C01A07" w:rsidRDefault="00DC471C" w:rsidP="00327D21">
      <w:pPr>
        <w:spacing w:after="0" w:line="276" w:lineRule="auto"/>
        <w:rPr>
          <w:rFonts w:ascii="Times New Roman" w:eastAsia="Calibri" w:hAnsi="Times New Roman" w:cs="Times New Roman"/>
          <w:sz w:val="24"/>
          <w:szCs w:val="24"/>
        </w:rPr>
      </w:pPr>
    </w:p>
    <w:p w14:paraId="1B478E24" w14:textId="77777777" w:rsidR="00B91043" w:rsidRPr="00C01A07" w:rsidRDefault="005B311D" w:rsidP="00327D21">
      <w:pPr>
        <w:spacing w:after="0" w:line="276" w:lineRule="auto"/>
        <w:jc w:val="both"/>
        <w:rPr>
          <w:rFonts w:ascii="Times New Roman" w:eastAsia="Calibri" w:hAnsi="Times New Roman" w:cs="Times New Roman"/>
          <w:sz w:val="24"/>
          <w:szCs w:val="24"/>
        </w:rPr>
      </w:pPr>
      <w:r w:rsidRPr="00C01A07">
        <w:rPr>
          <w:rFonts w:ascii="Times New Roman" w:eastAsia="Calibri" w:hAnsi="Times New Roman" w:cs="Times New Roman"/>
          <w:sz w:val="24"/>
          <w:szCs w:val="24"/>
        </w:rPr>
        <w:t>(</w:t>
      </w:r>
      <w:r w:rsidR="00E54271">
        <w:rPr>
          <w:rFonts w:ascii="Times New Roman" w:eastAsia="Calibri" w:hAnsi="Times New Roman" w:cs="Times New Roman"/>
          <w:sz w:val="24"/>
          <w:szCs w:val="24"/>
        </w:rPr>
        <w:t>5</w:t>
      </w:r>
      <w:r w:rsidRPr="00C01A07">
        <w:rPr>
          <w:rFonts w:ascii="Times New Roman" w:eastAsia="Calibri" w:hAnsi="Times New Roman" w:cs="Times New Roman"/>
          <w:sz w:val="24"/>
          <w:szCs w:val="24"/>
        </w:rPr>
        <w:t>)</w:t>
      </w:r>
      <w:r w:rsidR="00561031">
        <w:rPr>
          <w:rFonts w:ascii="Times New Roman" w:eastAsia="Calibri" w:hAnsi="Times New Roman" w:cs="Times New Roman"/>
          <w:sz w:val="24"/>
          <w:szCs w:val="24"/>
        </w:rPr>
        <w:t xml:space="preserve"> </w:t>
      </w:r>
      <w:r w:rsidRPr="00C01A07">
        <w:rPr>
          <w:rFonts w:ascii="Times New Roman" w:eastAsia="Calibri" w:hAnsi="Times New Roman" w:cs="Times New Roman"/>
          <w:sz w:val="24"/>
          <w:szCs w:val="24"/>
        </w:rPr>
        <w:t>Başvuru sahipleri</w:t>
      </w:r>
      <w:r w:rsidR="00DC471C" w:rsidRPr="00C01A07">
        <w:rPr>
          <w:rFonts w:ascii="Times New Roman" w:eastAsia="Calibri" w:hAnsi="Times New Roman" w:cs="Times New Roman"/>
          <w:sz w:val="24"/>
          <w:szCs w:val="24"/>
        </w:rPr>
        <w:t xml:space="preserve">, </w:t>
      </w:r>
      <w:proofErr w:type="spellStart"/>
      <w:r w:rsidR="00DC471C" w:rsidRPr="00C01A07">
        <w:rPr>
          <w:rFonts w:ascii="Times New Roman" w:eastAsia="Calibri" w:hAnsi="Times New Roman" w:cs="Times New Roman"/>
          <w:sz w:val="24"/>
          <w:szCs w:val="24"/>
        </w:rPr>
        <w:t>biyobenzer</w:t>
      </w:r>
      <w:proofErr w:type="spellEnd"/>
      <w:r w:rsidR="00DC471C" w:rsidRPr="00C01A07">
        <w:rPr>
          <w:rFonts w:ascii="Times New Roman" w:eastAsia="Calibri" w:hAnsi="Times New Roman" w:cs="Times New Roman"/>
          <w:sz w:val="24"/>
          <w:szCs w:val="24"/>
        </w:rPr>
        <w:t xml:space="preserve"> </w:t>
      </w:r>
      <w:r w:rsidR="00001294">
        <w:rPr>
          <w:rFonts w:ascii="Times New Roman" w:eastAsia="Calibri" w:hAnsi="Times New Roman" w:cs="Times New Roman"/>
          <w:sz w:val="24"/>
          <w:szCs w:val="24"/>
        </w:rPr>
        <w:t xml:space="preserve">tıbbi </w:t>
      </w:r>
      <w:r w:rsidR="00DC471C" w:rsidRPr="00C01A07">
        <w:rPr>
          <w:rFonts w:ascii="Times New Roman" w:eastAsia="Calibri" w:hAnsi="Times New Roman" w:cs="Times New Roman"/>
          <w:sz w:val="24"/>
          <w:szCs w:val="24"/>
        </w:rPr>
        <w:t xml:space="preserve">ürünleri geliştirirken kılavuzlarda mevcut olan bilgilerden daha ayrıntılı bilgilere ihtiyaç duydukları takdirde </w:t>
      </w:r>
      <w:r w:rsidR="00840F2C" w:rsidRPr="00C01A07">
        <w:rPr>
          <w:rFonts w:ascii="Times New Roman" w:eastAsia="Calibri" w:hAnsi="Times New Roman" w:cs="Times New Roman"/>
          <w:sz w:val="24"/>
          <w:szCs w:val="24"/>
        </w:rPr>
        <w:t xml:space="preserve">Kuruma </w:t>
      </w:r>
      <w:r w:rsidR="00DC471C" w:rsidRPr="00C01A07">
        <w:rPr>
          <w:rFonts w:ascii="Times New Roman" w:eastAsia="Calibri" w:hAnsi="Times New Roman" w:cs="Times New Roman"/>
          <w:sz w:val="24"/>
          <w:szCs w:val="24"/>
        </w:rPr>
        <w:t xml:space="preserve">danışabilir. </w:t>
      </w:r>
    </w:p>
    <w:p w14:paraId="2324C4F6" w14:textId="77777777" w:rsidR="00DC471C" w:rsidRPr="00C01A07" w:rsidRDefault="00DC471C" w:rsidP="00327D21">
      <w:pPr>
        <w:spacing w:after="0" w:line="276" w:lineRule="auto"/>
        <w:jc w:val="both"/>
        <w:rPr>
          <w:rFonts w:ascii="Times New Roman" w:eastAsia="Calibri" w:hAnsi="Times New Roman" w:cs="Times New Roman"/>
          <w:sz w:val="24"/>
          <w:szCs w:val="24"/>
        </w:rPr>
      </w:pPr>
    </w:p>
    <w:p w14:paraId="54A4C897" w14:textId="77777777" w:rsidR="00DC471C" w:rsidRPr="00C01A07" w:rsidRDefault="00DC471C" w:rsidP="00327D21">
      <w:pPr>
        <w:spacing w:line="276" w:lineRule="auto"/>
        <w:outlineLvl w:val="0"/>
        <w:rPr>
          <w:rFonts w:ascii="Times New Roman" w:hAnsi="Times New Roman" w:cs="Times New Roman"/>
          <w:b/>
          <w:sz w:val="24"/>
          <w:szCs w:val="24"/>
        </w:rPr>
      </w:pPr>
      <w:r w:rsidRPr="00C01A07">
        <w:rPr>
          <w:rFonts w:ascii="Times New Roman" w:hAnsi="Times New Roman" w:cs="Times New Roman"/>
          <w:b/>
          <w:sz w:val="24"/>
          <w:szCs w:val="24"/>
        </w:rPr>
        <w:t>Dayanak</w:t>
      </w:r>
    </w:p>
    <w:p w14:paraId="50B01DAC" w14:textId="77BA09D5" w:rsidR="00DC471C" w:rsidRPr="00E27A2B" w:rsidRDefault="00DC471C" w:rsidP="00E27A2B">
      <w:pPr>
        <w:spacing w:line="276" w:lineRule="auto"/>
        <w:jc w:val="both"/>
        <w:rPr>
          <w:rFonts w:ascii="Times New Roman" w:hAnsi="Times New Roman" w:cs="Times New Roman"/>
          <w:sz w:val="24"/>
          <w:szCs w:val="24"/>
        </w:rPr>
      </w:pPr>
      <w:r w:rsidRPr="00C01A07">
        <w:rPr>
          <w:rFonts w:ascii="Times New Roman" w:hAnsi="Times New Roman" w:cs="Times New Roman"/>
          <w:b/>
          <w:sz w:val="24"/>
          <w:szCs w:val="24"/>
        </w:rPr>
        <w:t xml:space="preserve">MADDE </w:t>
      </w:r>
      <w:r w:rsidR="0075771D">
        <w:rPr>
          <w:rFonts w:ascii="Times New Roman" w:hAnsi="Times New Roman" w:cs="Times New Roman"/>
          <w:b/>
          <w:sz w:val="24"/>
          <w:szCs w:val="24"/>
        </w:rPr>
        <w:t>3</w:t>
      </w:r>
      <w:r w:rsidR="0075771D" w:rsidRPr="00C01A07">
        <w:rPr>
          <w:rFonts w:ascii="Times New Roman" w:hAnsi="Times New Roman" w:cs="Times New Roman"/>
          <w:b/>
          <w:sz w:val="24"/>
          <w:szCs w:val="24"/>
        </w:rPr>
        <w:t xml:space="preserve"> </w:t>
      </w:r>
      <w:r w:rsidRPr="00C01A07">
        <w:rPr>
          <w:rFonts w:ascii="Times New Roman" w:hAnsi="Times New Roman" w:cs="Times New Roman"/>
          <w:b/>
          <w:sz w:val="24"/>
          <w:szCs w:val="24"/>
        </w:rPr>
        <w:t xml:space="preserve">- </w:t>
      </w:r>
      <w:r w:rsidRPr="00C01A07">
        <w:rPr>
          <w:rFonts w:ascii="Times New Roman" w:hAnsi="Times New Roman" w:cs="Times New Roman"/>
          <w:sz w:val="24"/>
          <w:szCs w:val="24"/>
        </w:rPr>
        <w:t>(1)</w:t>
      </w:r>
      <w:r w:rsidRPr="00C01A07">
        <w:rPr>
          <w:rFonts w:ascii="Times New Roman" w:hAnsi="Times New Roman" w:cs="Times New Roman"/>
          <w:b/>
          <w:sz w:val="24"/>
          <w:szCs w:val="24"/>
        </w:rPr>
        <w:t xml:space="preserve"> </w:t>
      </w:r>
      <w:r w:rsidRPr="00C01A07">
        <w:rPr>
          <w:rFonts w:ascii="Times New Roman" w:hAnsi="Times New Roman" w:cs="Times New Roman"/>
          <w:sz w:val="24"/>
          <w:szCs w:val="24"/>
        </w:rPr>
        <w:t xml:space="preserve">Bu kılavuz; </w:t>
      </w:r>
      <w:proofErr w:type="gramStart"/>
      <w:r w:rsidRPr="00AA4A4C">
        <w:rPr>
          <w:rFonts w:ascii="Times New Roman" w:hAnsi="Times New Roman" w:cs="Times New Roman"/>
          <w:sz w:val="24"/>
          <w:szCs w:val="24"/>
        </w:rPr>
        <w:t>19/01/2005</w:t>
      </w:r>
      <w:proofErr w:type="gramEnd"/>
      <w:r w:rsidRPr="00AA4A4C">
        <w:rPr>
          <w:rFonts w:ascii="Times New Roman" w:hAnsi="Times New Roman" w:cs="Times New Roman"/>
          <w:sz w:val="24"/>
          <w:szCs w:val="24"/>
        </w:rPr>
        <w:t xml:space="preserve"> tarihli ve 25705</w:t>
      </w:r>
      <w:r w:rsidRPr="00C01A07">
        <w:rPr>
          <w:rFonts w:ascii="Times New Roman" w:hAnsi="Times New Roman" w:cs="Times New Roman"/>
          <w:sz w:val="24"/>
          <w:szCs w:val="24"/>
        </w:rPr>
        <w:t xml:space="preserve"> sayılı Resmi </w:t>
      </w:r>
      <w:proofErr w:type="spellStart"/>
      <w:r w:rsidRPr="00C01A07">
        <w:rPr>
          <w:rFonts w:ascii="Times New Roman" w:hAnsi="Times New Roman" w:cs="Times New Roman"/>
          <w:sz w:val="24"/>
          <w:szCs w:val="24"/>
        </w:rPr>
        <w:t>Gazete’de</w:t>
      </w:r>
      <w:proofErr w:type="spellEnd"/>
      <w:r w:rsidRPr="00C01A07">
        <w:rPr>
          <w:rFonts w:ascii="Times New Roman" w:hAnsi="Times New Roman" w:cs="Times New Roman"/>
          <w:sz w:val="24"/>
          <w:szCs w:val="24"/>
        </w:rPr>
        <w:t xml:space="preserve"> yayımlanarak yürürlüğe giren Beşeri Tıbbi Ürünler Ruhsatlandırma Yönetmeliği’ne dayanılarak hazırlanmıştır. </w:t>
      </w:r>
      <w:r w:rsidR="00D140B6">
        <w:rPr>
          <w:rFonts w:ascii="Times New Roman" w:hAnsi="Times New Roman" w:cs="Times New Roman"/>
          <w:sz w:val="24"/>
          <w:szCs w:val="24"/>
        </w:rPr>
        <w:t xml:space="preserve"> </w:t>
      </w:r>
    </w:p>
    <w:p w14:paraId="0F6F4101" w14:textId="77777777" w:rsidR="007F3A4B" w:rsidRPr="00C01A07" w:rsidRDefault="007F3A4B" w:rsidP="00327D21">
      <w:pPr>
        <w:spacing w:after="0" w:line="276" w:lineRule="auto"/>
        <w:jc w:val="both"/>
        <w:rPr>
          <w:rFonts w:ascii="Times New Roman" w:eastAsia="Calibri" w:hAnsi="Times New Roman" w:cs="Times New Roman"/>
          <w:sz w:val="24"/>
          <w:szCs w:val="24"/>
        </w:rPr>
      </w:pPr>
    </w:p>
    <w:p w14:paraId="3A1D7DF5" w14:textId="77777777" w:rsidR="00450DB6" w:rsidRPr="001F447B" w:rsidRDefault="00DC471C" w:rsidP="00327D21">
      <w:pPr>
        <w:spacing w:line="276" w:lineRule="auto"/>
        <w:jc w:val="both"/>
        <w:outlineLvl w:val="0"/>
        <w:rPr>
          <w:rFonts w:ascii="Times New Roman" w:hAnsi="Times New Roman" w:cs="Times New Roman"/>
          <w:b/>
          <w:bCs/>
          <w:sz w:val="24"/>
          <w:szCs w:val="24"/>
        </w:rPr>
      </w:pPr>
      <w:r w:rsidRPr="001F447B">
        <w:rPr>
          <w:rFonts w:ascii="Times New Roman" w:hAnsi="Times New Roman" w:cs="Times New Roman"/>
          <w:b/>
          <w:bCs/>
          <w:sz w:val="24"/>
          <w:szCs w:val="24"/>
        </w:rPr>
        <w:t>Tanımlar</w:t>
      </w:r>
      <w:r w:rsidR="00001294">
        <w:rPr>
          <w:rFonts w:ascii="Times New Roman" w:hAnsi="Times New Roman" w:cs="Times New Roman"/>
          <w:b/>
          <w:bCs/>
          <w:sz w:val="24"/>
          <w:szCs w:val="24"/>
        </w:rPr>
        <w:t xml:space="preserve"> </w:t>
      </w:r>
    </w:p>
    <w:p w14:paraId="1875FB7E" w14:textId="77777777" w:rsidR="00DC471C" w:rsidRPr="00C01A07" w:rsidRDefault="00DC471C" w:rsidP="00327D21">
      <w:pPr>
        <w:spacing w:line="276" w:lineRule="auto"/>
        <w:jc w:val="both"/>
        <w:outlineLvl w:val="0"/>
        <w:rPr>
          <w:rFonts w:ascii="Times New Roman" w:hAnsi="Times New Roman" w:cs="Times New Roman"/>
          <w:sz w:val="24"/>
          <w:szCs w:val="24"/>
        </w:rPr>
      </w:pPr>
      <w:r w:rsidRPr="00C01A07">
        <w:rPr>
          <w:rFonts w:ascii="Times New Roman" w:hAnsi="Times New Roman" w:cs="Times New Roman"/>
          <w:b/>
          <w:sz w:val="24"/>
          <w:szCs w:val="24"/>
        </w:rPr>
        <w:t xml:space="preserve">MADDE </w:t>
      </w:r>
      <w:r w:rsidR="0075771D">
        <w:rPr>
          <w:rFonts w:ascii="Times New Roman" w:hAnsi="Times New Roman" w:cs="Times New Roman"/>
          <w:b/>
          <w:sz w:val="24"/>
          <w:szCs w:val="24"/>
        </w:rPr>
        <w:t>4</w:t>
      </w:r>
      <w:r w:rsidR="0075771D" w:rsidRPr="00C01A07">
        <w:rPr>
          <w:rFonts w:ascii="Times New Roman" w:hAnsi="Times New Roman" w:cs="Times New Roman"/>
          <w:b/>
          <w:sz w:val="24"/>
          <w:szCs w:val="24"/>
        </w:rPr>
        <w:t xml:space="preserve"> </w:t>
      </w:r>
      <w:r w:rsidRPr="00C01A07">
        <w:rPr>
          <w:rFonts w:ascii="Times New Roman" w:hAnsi="Times New Roman" w:cs="Times New Roman"/>
          <w:sz w:val="24"/>
          <w:szCs w:val="24"/>
        </w:rPr>
        <w:t>- (1)</w:t>
      </w:r>
      <w:r w:rsidRPr="00C01A07">
        <w:rPr>
          <w:rFonts w:ascii="Times New Roman" w:hAnsi="Times New Roman" w:cs="Times New Roman"/>
          <w:b/>
          <w:sz w:val="24"/>
          <w:szCs w:val="24"/>
        </w:rPr>
        <w:t xml:space="preserve">  </w:t>
      </w:r>
      <w:r w:rsidRPr="00C01A07">
        <w:rPr>
          <w:rFonts w:ascii="Times New Roman" w:hAnsi="Times New Roman" w:cs="Times New Roman"/>
          <w:sz w:val="24"/>
          <w:szCs w:val="24"/>
        </w:rPr>
        <w:t>Bu Kılavuzda geçen;</w:t>
      </w:r>
    </w:p>
    <w:p w14:paraId="013DE24D" w14:textId="77777777" w:rsidR="007E6FD0" w:rsidRPr="00C01A07" w:rsidRDefault="00DC471C" w:rsidP="00C01A07">
      <w:pPr>
        <w:widowControl w:val="0"/>
        <w:autoSpaceDE w:val="0"/>
        <w:autoSpaceDN w:val="0"/>
        <w:adjustRightInd w:val="0"/>
        <w:spacing w:after="0" w:line="276" w:lineRule="auto"/>
        <w:jc w:val="both"/>
        <w:rPr>
          <w:rFonts w:ascii="Times New Roman" w:hAnsi="Times New Roman" w:cs="Times New Roman"/>
          <w:sz w:val="24"/>
          <w:szCs w:val="24"/>
        </w:rPr>
      </w:pPr>
      <w:r w:rsidRPr="00EB368C">
        <w:rPr>
          <w:rFonts w:ascii="Times New Roman" w:hAnsi="Times New Roman" w:cs="Times New Roman"/>
          <w:bCs/>
          <w:sz w:val="24"/>
          <w:szCs w:val="24"/>
        </w:rPr>
        <w:t>1)</w:t>
      </w:r>
      <w:r w:rsidRPr="00C01A07">
        <w:rPr>
          <w:rFonts w:ascii="Times New Roman" w:hAnsi="Times New Roman" w:cs="Times New Roman"/>
          <w:b/>
          <w:bCs/>
          <w:sz w:val="24"/>
          <w:szCs w:val="24"/>
        </w:rPr>
        <w:t xml:space="preserve"> </w:t>
      </w:r>
      <w:r w:rsidR="00B271A3" w:rsidRPr="001F447B">
        <w:rPr>
          <w:rFonts w:ascii="Times New Roman" w:hAnsi="Times New Roman" w:cs="Times New Roman"/>
          <w:bCs/>
          <w:sz w:val="24"/>
          <w:szCs w:val="24"/>
        </w:rPr>
        <w:t>Biyolojik Tıbbi Ürün:</w:t>
      </w:r>
      <w:r w:rsidR="00B271A3" w:rsidRPr="001F447B">
        <w:rPr>
          <w:rFonts w:ascii="Times New Roman" w:hAnsi="Times New Roman" w:cs="Times New Roman"/>
          <w:b/>
          <w:bCs/>
          <w:sz w:val="24"/>
          <w:szCs w:val="24"/>
        </w:rPr>
        <w:t xml:space="preserve"> </w:t>
      </w:r>
      <w:r w:rsidR="00B271A3" w:rsidRPr="001F447B">
        <w:rPr>
          <w:rFonts w:ascii="Times New Roman" w:hAnsi="Times New Roman" w:cs="Times New Roman"/>
          <w:sz w:val="24"/>
          <w:szCs w:val="24"/>
        </w:rPr>
        <w:t xml:space="preserve">Etkin madde veya maddeleri </w:t>
      </w:r>
      <w:r w:rsidR="00D74C3D">
        <w:rPr>
          <w:rFonts w:ascii="Times New Roman" w:hAnsi="Times New Roman" w:cs="Times New Roman"/>
          <w:sz w:val="24"/>
          <w:szCs w:val="24"/>
        </w:rPr>
        <w:t>biyolojik bir kaynakta üretilen</w:t>
      </w:r>
      <w:r w:rsidR="00B271A3" w:rsidRPr="001F447B">
        <w:rPr>
          <w:rFonts w:ascii="Times New Roman" w:hAnsi="Times New Roman" w:cs="Times New Roman"/>
          <w:sz w:val="24"/>
          <w:szCs w:val="24"/>
        </w:rPr>
        <w:t xml:space="preserve"> ya da biyolo</w:t>
      </w:r>
      <w:r w:rsidR="00D74C3D">
        <w:rPr>
          <w:rFonts w:ascii="Times New Roman" w:hAnsi="Times New Roman" w:cs="Times New Roman"/>
          <w:sz w:val="24"/>
          <w:szCs w:val="24"/>
        </w:rPr>
        <w:t>jik bir kaynaktan saflaştırılan,</w:t>
      </w:r>
      <w:r w:rsidR="00B271A3" w:rsidRPr="001F447B">
        <w:rPr>
          <w:rFonts w:ascii="Times New Roman" w:hAnsi="Times New Roman" w:cs="Times New Roman"/>
          <w:sz w:val="24"/>
          <w:szCs w:val="24"/>
        </w:rPr>
        <w:t xml:space="preserve"> kalitesi, imalat süreci ve kontrolleri </w:t>
      </w:r>
      <w:proofErr w:type="spellStart"/>
      <w:r w:rsidR="00B271A3" w:rsidRPr="001F447B">
        <w:rPr>
          <w:rFonts w:ascii="Times New Roman" w:hAnsi="Times New Roman" w:cs="Times New Roman"/>
          <w:sz w:val="24"/>
          <w:szCs w:val="24"/>
        </w:rPr>
        <w:t>fizikokimyasal</w:t>
      </w:r>
      <w:proofErr w:type="spellEnd"/>
      <w:r w:rsidR="00B271A3" w:rsidRPr="001F447B">
        <w:rPr>
          <w:rFonts w:ascii="Times New Roman" w:hAnsi="Times New Roman" w:cs="Times New Roman"/>
          <w:sz w:val="24"/>
          <w:szCs w:val="24"/>
        </w:rPr>
        <w:t xml:space="preserve"> ve biyolojik testler</w:t>
      </w:r>
      <w:r w:rsidR="00BB79F7" w:rsidRPr="00C01A07">
        <w:rPr>
          <w:rFonts w:ascii="Times New Roman" w:hAnsi="Times New Roman" w:cs="Times New Roman"/>
          <w:sz w:val="24"/>
          <w:szCs w:val="24"/>
        </w:rPr>
        <w:t xml:space="preserve"> </w:t>
      </w:r>
      <w:r w:rsidR="0028235C" w:rsidRPr="00C01A07">
        <w:rPr>
          <w:rFonts w:ascii="Times New Roman" w:hAnsi="Times New Roman" w:cs="Times New Roman"/>
          <w:sz w:val="24"/>
          <w:szCs w:val="24"/>
        </w:rPr>
        <w:t>ile birlikte</w:t>
      </w:r>
      <w:r w:rsidR="00B271A3" w:rsidRPr="00C01A07">
        <w:rPr>
          <w:rFonts w:ascii="Times New Roman" w:hAnsi="Times New Roman" w:cs="Times New Roman"/>
          <w:sz w:val="24"/>
          <w:szCs w:val="24"/>
        </w:rPr>
        <w:t xml:space="preserve"> </w:t>
      </w:r>
      <w:r w:rsidR="0028235C" w:rsidRPr="00C01A07">
        <w:rPr>
          <w:rFonts w:ascii="Times New Roman" w:hAnsi="Times New Roman" w:cs="Times New Roman"/>
          <w:sz w:val="24"/>
          <w:szCs w:val="24"/>
        </w:rPr>
        <w:t xml:space="preserve">gösterilen </w:t>
      </w:r>
      <w:r w:rsidR="00B271A3" w:rsidRPr="00C01A07">
        <w:rPr>
          <w:rFonts w:ascii="Times New Roman" w:hAnsi="Times New Roman" w:cs="Times New Roman"/>
          <w:sz w:val="24"/>
          <w:szCs w:val="24"/>
        </w:rPr>
        <w:t>beşeri tıbbi üründür.</w:t>
      </w:r>
    </w:p>
    <w:p w14:paraId="3E1F4910" w14:textId="77777777" w:rsidR="00DC471C" w:rsidRPr="00C01A07" w:rsidRDefault="00DC471C" w:rsidP="00C01A07">
      <w:pPr>
        <w:widowControl w:val="0"/>
        <w:autoSpaceDE w:val="0"/>
        <w:autoSpaceDN w:val="0"/>
        <w:adjustRightInd w:val="0"/>
        <w:spacing w:after="0" w:line="276" w:lineRule="auto"/>
        <w:jc w:val="both"/>
        <w:rPr>
          <w:rFonts w:ascii="Times New Roman" w:hAnsi="Times New Roman" w:cs="Times New Roman"/>
          <w:sz w:val="24"/>
          <w:szCs w:val="24"/>
        </w:rPr>
      </w:pPr>
    </w:p>
    <w:p w14:paraId="5142C148" w14:textId="77777777" w:rsidR="00DC471C" w:rsidRDefault="00DC471C" w:rsidP="00327D21">
      <w:pPr>
        <w:widowControl w:val="0"/>
        <w:autoSpaceDE w:val="0"/>
        <w:autoSpaceDN w:val="0"/>
        <w:adjustRightInd w:val="0"/>
        <w:spacing w:after="0" w:line="276" w:lineRule="auto"/>
        <w:rPr>
          <w:rFonts w:ascii="Times New Roman" w:hAnsi="Times New Roman" w:cs="Times New Roman"/>
          <w:sz w:val="24"/>
          <w:szCs w:val="24"/>
        </w:rPr>
      </w:pPr>
      <w:r w:rsidRPr="00C01A07">
        <w:rPr>
          <w:rFonts w:ascii="Times New Roman" w:hAnsi="Times New Roman" w:cs="Times New Roman"/>
          <w:bCs/>
          <w:sz w:val="24"/>
          <w:szCs w:val="24"/>
        </w:rPr>
        <w:t xml:space="preserve">2) </w:t>
      </w:r>
      <w:proofErr w:type="spellStart"/>
      <w:r w:rsidRPr="00C01A07">
        <w:rPr>
          <w:rFonts w:ascii="Times New Roman" w:hAnsi="Times New Roman" w:cs="Times New Roman"/>
          <w:bCs/>
          <w:sz w:val="24"/>
          <w:szCs w:val="24"/>
        </w:rPr>
        <w:t>Biyobenzer</w:t>
      </w:r>
      <w:proofErr w:type="spellEnd"/>
      <w:r w:rsidRPr="00C01A07">
        <w:rPr>
          <w:rFonts w:ascii="Times New Roman" w:hAnsi="Times New Roman" w:cs="Times New Roman"/>
          <w:bCs/>
          <w:sz w:val="24"/>
          <w:szCs w:val="24"/>
        </w:rPr>
        <w:t xml:space="preserve"> Tıbbi Ürün: </w:t>
      </w:r>
      <w:r w:rsidRPr="00C01A07">
        <w:rPr>
          <w:rFonts w:ascii="Times New Roman" w:hAnsi="Times New Roman" w:cs="Times New Roman"/>
          <w:sz w:val="24"/>
          <w:szCs w:val="24"/>
        </w:rPr>
        <w:t xml:space="preserve">Ruhsatlı </w:t>
      </w:r>
      <w:r w:rsidR="00EB368C">
        <w:rPr>
          <w:rFonts w:ascii="Times New Roman" w:hAnsi="Times New Roman" w:cs="Times New Roman"/>
          <w:sz w:val="24"/>
          <w:szCs w:val="24"/>
        </w:rPr>
        <w:t xml:space="preserve">bir biyolojik referans  </w:t>
      </w:r>
      <w:r w:rsidR="00DC468C" w:rsidRPr="00C01A07">
        <w:rPr>
          <w:rFonts w:ascii="Times New Roman" w:hAnsi="Times New Roman" w:cs="Times New Roman"/>
          <w:sz w:val="24"/>
          <w:szCs w:val="24"/>
        </w:rPr>
        <w:t xml:space="preserve">tıbbi ürüne </w:t>
      </w:r>
      <w:r w:rsidR="008D17E1">
        <w:rPr>
          <w:rFonts w:ascii="Times New Roman" w:hAnsi="Times New Roman" w:cs="Times New Roman"/>
          <w:sz w:val="24"/>
          <w:szCs w:val="24"/>
        </w:rPr>
        <w:t xml:space="preserve">yüksek düzeyde </w:t>
      </w:r>
      <w:r w:rsidRPr="00C01A07">
        <w:rPr>
          <w:rFonts w:ascii="Times New Roman" w:hAnsi="Times New Roman" w:cs="Times New Roman"/>
          <w:sz w:val="24"/>
          <w:szCs w:val="24"/>
        </w:rPr>
        <w:t xml:space="preserve">benzerlik gösteren </w:t>
      </w:r>
      <w:r w:rsidR="00DC468C" w:rsidRPr="00C01A07">
        <w:rPr>
          <w:rFonts w:ascii="Times New Roman" w:hAnsi="Times New Roman" w:cs="Times New Roman"/>
          <w:sz w:val="24"/>
          <w:szCs w:val="24"/>
        </w:rPr>
        <w:t>üründür</w:t>
      </w:r>
      <w:r w:rsidRPr="00C01A07">
        <w:rPr>
          <w:rFonts w:ascii="Times New Roman" w:hAnsi="Times New Roman" w:cs="Times New Roman"/>
          <w:sz w:val="24"/>
          <w:szCs w:val="24"/>
        </w:rPr>
        <w:t>.</w:t>
      </w:r>
    </w:p>
    <w:p w14:paraId="08FDBDA1" w14:textId="77777777" w:rsidR="00450DB6" w:rsidRDefault="00450DB6" w:rsidP="00327D21">
      <w:pPr>
        <w:widowControl w:val="0"/>
        <w:autoSpaceDE w:val="0"/>
        <w:autoSpaceDN w:val="0"/>
        <w:adjustRightInd w:val="0"/>
        <w:spacing w:after="0" w:line="276" w:lineRule="auto"/>
        <w:rPr>
          <w:rFonts w:ascii="Times New Roman" w:hAnsi="Times New Roman" w:cs="Times New Roman"/>
          <w:sz w:val="24"/>
          <w:szCs w:val="24"/>
        </w:rPr>
      </w:pPr>
    </w:p>
    <w:p w14:paraId="09606E22" w14:textId="77777777" w:rsidR="00450DB6" w:rsidRPr="001F447B" w:rsidRDefault="00450DB6" w:rsidP="00450DB6">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C01A07">
        <w:rPr>
          <w:rFonts w:ascii="Times New Roman" w:hAnsi="Times New Roman" w:cs="Times New Roman"/>
          <w:sz w:val="24"/>
          <w:szCs w:val="24"/>
        </w:rPr>
        <w:t xml:space="preserve">) </w:t>
      </w:r>
      <w:proofErr w:type="spellStart"/>
      <w:r w:rsidRPr="00C01A07">
        <w:rPr>
          <w:rFonts w:ascii="Times New Roman" w:hAnsi="Times New Roman" w:cs="Times New Roman"/>
          <w:sz w:val="24"/>
          <w:szCs w:val="24"/>
        </w:rPr>
        <w:t>Farmakope</w:t>
      </w:r>
      <w:proofErr w:type="spellEnd"/>
      <w:r w:rsidRPr="00C01A07">
        <w:rPr>
          <w:rFonts w:ascii="Times New Roman" w:hAnsi="Times New Roman" w:cs="Times New Roman"/>
          <w:sz w:val="24"/>
          <w:szCs w:val="24"/>
        </w:rPr>
        <w:t xml:space="preserve">: Türk </w:t>
      </w:r>
      <w:proofErr w:type="spellStart"/>
      <w:r w:rsidRPr="00C01A07">
        <w:rPr>
          <w:rFonts w:ascii="Times New Roman" w:hAnsi="Times New Roman" w:cs="Times New Roman"/>
          <w:sz w:val="24"/>
          <w:szCs w:val="24"/>
        </w:rPr>
        <w:t>Farmakopesi</w:t>
      </w:r>
      <w:proofErr w:type="spellEnd"/>
      <w:r w:rsidRPr="00C01A07">
        <w:rPr>
          <w:rFonts w:ascii="Times New Roman" w:hAnsi="Times New Roman" w:cs="Times New Roman"/>
          <w:sz w:val="24"/>
          <w:szCs w:val="24"/>
        </w:rPr>
        <w:t xml:space="preserve">, Avrupa </w:t>
      </w:r>
      <w:proofErr w:type="spellStart"/>
      <w:r w:rsidRPr="00C01A07">
        <w:rPr>
          <w:rFonts w:ascii="Times New Roman" w:hAnsi="Times New Roman" w:cs="Times New Roman"/>
          <w:sz w:val="24"/>
          <w:szCs w:val="24"/>
        </w:rPr>
        <w:t>Farmakopesi</w:t>
      </w:r>
      <w:proofErr w:type="spellEnd"/>
      <w:r w:rsidRPr="00C01A07">
        <w:rPr>
          <w:rFonts w:ascii="Times New Roman" w:hAnsi="Times New Roman" w:cs="Times New Roman"/>
          <w:sz w:val="24"/>
          <w:szCs w:val="24"/>
        </w:rPr>
        <w:t xml:space="preserve">, Amerikan </w:t>
      </w:r>
      <w:proofErr w:type="spellStart"/>
      <w:r w:rsidRPr="00C01A07">
        <w:rPr>
          <w:rFonts w:ascii="Times New Roman" w:hAnsi="Times New Roman" w:cs="Times New Roman"/>
          <w:sz w:val="24"/>
          <w:szCs w:val="24"/>
        </w:rPr>
        <w:t>Farmakopesi</w:t>
      </w:r>
      <w:proofErr w:type="spellEnd"/>
      <w:r w:rsidRPr="00C01A07">
        <w:rPr>
          <w:rFonts w:ascii="Times New Roman" w:hAnsi="Times New Roman" w:cs="Times New Roman"/>
          <w:sz w:val="24"/>
          <w:szCs w:val="24"/>
        </w:rPr>
        <w:t xml:space="preserve"> ve Japon </w:t>
      </w:r>
      <w:proofErr w:type="spellStart"/>
      <w:r w:rsidRPr="00C01A07">
        <w:rPr>
          <w:rFonts w:ascii="Times New Roman" w:hAnsi="Times New Roman" w:cs="Times New Roman"/>
          <w:sz w:val="24"/>
          <w:szCs w:val="24"/>
        </w:rPr>
        <w:t>Farmakopesi’ni</w:t>
      </w:r>
      <w:proofErr w:type="spellEnd"/>
      <w:r w:rsidRPr="00C01A07">
        <w:rPr>
          <w:rFonts w:ascii="Times New Roman" w:hAnsi="Times New Roman" w:cs="Times New Roman"/>
          <w:sz w:val="24"/>
          <w:szCs w:val="24"/>
        </w:rPr>
        <w:t xml:space="preserve"> tanımlar.</w:t>
      </w:r>
    </w:p>
    <w:p w14:paraId="536DBB02" w14:textId="2D6ED4B6" w:rsidR="00113835" w:rsidRDefault="00113835" w:rsidP="00A37454">
      <w:pPr>
        <w:spacing w:line="276" w:lineRule="auto"/>
        <w:jc w:val="both"/>
        <w:rPr>
          <w:rFonts w:ascii="Times New Roman" w:hAnsi="Times New Roman" w:cs="Times New Roman"/>
          <w:color w:val="000000"/>
          <w:sz w:val="24"/>
          <w:szCs w:val="24"/>
        </w:rPr>
      </w:pPr>
      <w:proofErr w:type="gramStart"/>
      <w:r w:rsidRPr="00A37454">
        <w:rPr>
          <w:rFonts w:ascii="Times New Roman" w:hAnsi="Times New Roman" w:cs="Times New Roman"/>
          <w:color w:val="000000" w:themeColor="text1"/>
          <w:sz w:val="24"/>
          <w:szCs w:val="24"/>
        </w:rPr>
        <w:lastRenderedPageBreak/>
        <w:t>4) Kılavuz: Avrupa İlaç Ajansı (</w:t>
      </w:r>
      <w:proofErr w:type="spellStart"/>
      <w:r w:rsidR="00041A40">
        <w:rPr>
          <w:rFonts w:ascii="Times New Roman" w:hAnsi="Times New Roman" w:cs="Times New Roman"/>
          <w:color w:val="000000" w:themeColor="text1"/>
          <w:sz w:val="24"/>
          <w:szCs w:val="24"/>
        </w:rPr>
        <w:t>European</w:t>
      </w:r>
      <w:proofErr w:type="spellEnd"/>
      <w:r w:rsidR="00041A40">
        <w:rPr>
          <w:rFonts w:ascii="Times New Roman" w:hAnsi="Times New Roman" w:cs="Times New Roman"/>
          <w:color w:val="000000" w:themeColor="text1"/>
          <w:sz w:val="24"/>
          <w:szCs w:val="24"/>
        </w:rPr>
        <w:t xml:space="preserve"> </w:t>
      </w:r>
      <w:proofErr w:type="spellStart"/>
      <w:r w:rsidR="00041A40">
        <w:rPr>
          <w:rFonts w:ascii="Times New Roman" w:hAnsi="Times New Roman" w:cs="Times New Roman"/>
          <w:color w:val="000000" w:themeColor="text1"/>
          <w:sz w:val="24"/>
          <w:szCs w:val="24"/>
        </w:rPr>
        <w:t>Drug</w:t>
      </w:r>
      <w:proofErr w:type="spellEnd"/>
      <w:r w:rsidR="00041A40">
        <w:rPr>
          <w:rFonts w:ascii="Times New Roman" w:hAnsi="Times New Roman" w:cs="Times New Roman"/>
          <w:color w:val="000000" w:themeColor="text1"/>
          <w:sz w:val="24"/>
          <w:szCs w:val="24"/>
        </w:rPr>
        <w:t xml:space="preserve"> </w:t>
      </w:r>
      <w:proofErr w:type="spellStart"/>
      <w:r w:rsidR="00041A40">
        <w:rPr>
          <w:rFonts w:ascii="Times New Roman" w:hAnsi="Times New Roman" w:cs="Times New Roman"/>
          <w:color w:val="000000" w:themeColor="text1"/>
          <w:sz w:val="24"/>
          <w:szCs w:val="24"/>
        </w:rPr>
        <w:t>Agency</w:t>
      </w:r>
      <w:proofErr w:type="spellEnd"/>
      <w:r w:rsidR="00041A40">
        <w:rPr>
          <w:rFonts w:ascii="Times New Roman" w:hAnsi="Times New Roman" w:cs="Times New Roman"/>
          <w:color w:val="000000" w:themeColor="text1"/>
          <w:sz w:val="24"/>
          <w:szCs w:val="24"/>
        </w:rPr>
        <w:t>-</w:t>
      </w:r>
      <w:r w:rsidRPr="00A37454">
        <w:rPr>
          <w:rFonts w:ascii="Times New Roman" w:hAnsi="Times New Roman" w:cs="Times New Roman"/>
          <w:color w:val="000000" w:themeColor="text1"/>
          <w:sz w:val="24"/>
          <w:szCs w:val="24"/>
        </w:rPr>
        <w:t>EMA), Amerikan Gıda ve İlaç Otoritesi (</w:t>
      </w:r>
      <w:proofErr w:type="spellStart"/>
      <w:r w:rsidR="00041A40">
        <w:rPr>
          <w:rFonts w:ascii="Times New Roman" w:hAnsi="Times New Roman" w:cs="Times New Roman"/>
          <w:color w:val="000000" w:themeColor="text1"/>
          <w:sz w:val="24"/>
          <w:szCs w:val="24"/>
        </w:rPr>
        <w:t>Food</w:t>
      </w:r>
      <w:proofErr w:type="spellEnd"/>
      <w:r w:rsidR="00041A40">
        <w:rPr>
          <w:rFonts w:ascii="Times New Roman" w:hAnsi="Times New Roman" w:cs="Times New Roman"/>
          <w:color w:val="000000" w:themeColor="text1"/>
          <w:sz w:val="24"/>
          <w:szCs w:val="24"/>
        </w:rPr>
        <w:t xml:space="preserve"> </w:t>
      </w:r>
      <w:proofErr w:type="spellStart"/>
      <w:r w:rsidR="00041A40">
        <w:rPr>
          <w:rFonts w:ascii="Times New Roman" w:hAnsi="Times New Roman" w:cs="Times New Roman"/>
          <w:color w:val="000000" w:themeColor="text1"/>
          <w:sz w:val="24"/>
          <w:szCs w:val="24"/>
        </w:rPr>
        <w:t>and</w:t>
      </w:r>
      <w:proofErr w:type="spellEnd"/>
      <w:r w:rsidR="00041A40">
        <w:rPr>
          <w:rFonts w:ascii="Times New Roman" w:hAnsi="Times New Roman" w:cs="Times New Roman"/>
          <w:color w:val="000000" w:themeColor="text1"/>
          <w:sz w:val="24"/>
          <w:szCs w:val="24"/>
        </w:rPr>
        <w:t xml:space="preserve"> </w:t>
      </w:r>
      <w:proofErr w:type="spellStart"/>
      <w:r w:rsidR="00041A40">
        <w:rPr>
          <w:rFonts w:ascii="Times New Roman" w:hAnsi="Times New Roman" w:cs="Times New Roman"/>
          <w:color w:val="000000" w:themeColor="text1"/>
          <w:sz w:val="24"/>
          <w:szCs w:val="24"/>
        </w:rPr>
        <w:t>Drug</w:t>
      </w:r>
      <w:proofErr w:type="spellEnd"/>
      <w:r w:rsidR="00041A40">
        <w:rPr>
          <w:rFonts w:ascii="Times New Roman" w:hAnsi="Times New Roman" w:cs="Times New Roman"/>
          <w:color w:val="000000" w:themeColor="text1"/>
          <w:sz w:val="24"/>
          <w:szCs w:val="24"/>
        </w:rPr>
        <w:t xml:space="preserve"> Administration-</w:t>
      </w:r>
      <w:r w:rsidRPr="00A37454">
        <w:rPr>
          <w:rFonts w:ascii="Times New Roman" w:hAnsi="Times New Roman" w:cs="Times New Roman"/>
          <w:color w:val="000000" w:themeColor="text1"/>
          <w:sz w:val="24"/>
          <w:szCs w:val="24"/>
        </w:rPr>
        <w:t>FDA), Dünya Sağlık Örgütü (</w:t>
      </w:r>
      <w:r w:rsidR="00041A40">
        <w:rPr>
          <w:rFonts w:ascii="Times New Roman" w:hAnsi="Times New Roman" w:cs="Times New Roman"/>
          <w:color w:val="000000" w:themeColor="text1"/>
          <w:sz w:val="24"/>
          <w:szCs w:val="24"/>
        </w:rPr>
        <w:t xml:space="preserve">World </w:t>
      </w:r>
      <w:proofErr w:type="spellStart"/>
      <w:r w:rsidR="00041A40">
        <w:rPr>
          <w:rFonts w:ascii="Times New Roman" w:hAnsi="Times New Roman" w:cs="Times New Roman"/>
          <w:color w:val="000000" w:themeColor="text1"/>
          <w:sz w:val="24"/>
          <w:szCs w:val="24"/>
        </w:rPr>
        <w:t>Health</w:t>
      </w:r>
      <w:proofErr w:type="spellEnd"/>
      <w:r w:rsidR="00261463">
        <w:rPr>
          <w:rFonts w:ascii="Times New Roman" w:hAnsi="Times New Roman" w:cs="Times New Roman"/>
          <w:color w:val="000000" w:themeColor="text1"/>
          <w:sz w:val="24"/>
          <w:szCs w:val="24"/>
        </w:rPr>
        <w:t xml:space="preserve"> </w:t>
      </w:r>
      <w:proofErr w:type="spellStart"/>
      <w:r w:rsidR="00041A40">
        <w:rPr>
          <w:rFonts w:ascii="Times New Roman" w:hAnsi="Times New Roman" w:cs="Times New Roman"/>
          <w:color w:val="000000" w:themeColor="text1"/>
          <w:sz w:val="24"/>
          <w:szCs w:val="24"/>
        </w:rPr>
        <w:t>Organization</w:t>
      </w:r>
      <w:proofErr w:type="spellEnd"/>
      <w:r w:rsidR="00041A40">
        <w:rPr>
          <w:rFonts w:ascii="Times New Roman" w:hAnsi="Times New Roman" w:cs="Times New Roman"/>
          <w:color w:val="000000" w:themeColor="text1"/>
          <w:sz w:val="24"/>
          <w:szCs w:val="24"/>
        </w:rPr>
        <w:t>-WHO</w:t>
      </w:r>
      <w:r w:rsidRPr="00A37454">
        <w:rPr>
          <w:rFonts w:ascii="Times New Roman" w:hAnsi="Times New Roman" w:cs="Times New Roman"/>
          <w:color w:val="000000" w:themeColor="text1"/>
          <w:sz w:val="24"/>
          <w:szCs w:val="24"/>
        </w:rPr>
        <w:t xml:space="preserve">), </w:t>
      </w:r>
      <w:r w:rsidR="00041A40">
        <w:rPr>
          <w:rFonts w:ascii="Times New Roman" w:hAnsi="Times New Roman" w:cs="Times New Roman"/>
          <w:color w:val="000000" w:themeColor="text1"/>
          <w:sz w:val="24"/>
          <w:szCs w:val="24"/>
        </w:rPr>
        <w:t xml:space="preserve">Uluslararası </w:t>
      </w:r>
      <w:proofErr w:type="spellStart"/>
      <w:r w:rsidR="00041A40">
        <w:rPr>
          <w:rFonts w:ascii="Times New Roman" w:hAnsi="Times New Roman" w:cs="Times New Roman"/>
          <w:color w:val="000000" w:themeColor="text1"/>
          <w:sz w:val="24"/>
          <w:szCs w:val="24"/>
        </w:rPr>
        <w:t>Harmonizasyon</w:t>
      </w:r>
      <w:proofErr w:type="spellEnd"/>
      <w:r w:rsidR="00041A40">
        <w:rPr>
          <w:rFonts w:ascii="Times New Roman" w:hAnsi="Times New Roman" w:cs="Times New Roman"/>
          <w:color w:val="000000" w:themeColor="text1"/>
          <w:sz w:val="24"/>
          <w:szCs w:val="24"/>
        </w:rPr>
        <w:t xml:space="preserve"> Konseyi (</w:t>
      </w:r>
      <w:r w:rsidRPr="00A37454">
        <w:rPr>
          <w:rFonts w:ascii="Times New Roman" w:hAnsi="Times New Roman" w:cs="Times New Roman"/>
          <w:color w:val="000000" w:themeColor="text1"/>
          <w:sz w:val="24"/>
          <w:szCs w:val="24"/>
        </w:rPr>
        <w:t>Internati</w:t>
      </w:r>
      <w:r w:rsidR="00041A40">
        <w:rPr>
          <w:rFonts w:ascii="Times New Roman" w:hAnsi="Times New Roman" w:cs="Times New Roman"/>
          <w:color w:val="000000" w:themeColor="text1"/>
          <w:sz w:val="24"/>
          <w:szCs w:val="24"/>
        </w:rPr>
        <w:t xml:space="preserve">onal </w:t>
      </w:r>
      <w:proofErr w:type="spellStart"/>
      <w:r w:rsidR="00041A40">
        <w:rPr>
          <w:rFonts w:ascii="Times New Roman" w:hAnsi="Times New Roman" w:cs="Times New Roman"/>
          <w:color w:val="000000" w:themeColor="text1"/>
          <w:sz w:val="24"/>
          <w:szCs w:val="24"/>
        </w:rPr>
        <w:t>Council</w:t>
      </w:r>
      <w:proofErr w:type="spellEnd"/>
      <w:r w:rsidR="00041A40">
        <w:rPr>
          <w:rFonts w:ascii="Times New Roman" w:hAnsi="Times New Roman" w:cs="Times New Roman"/>
          <w:color w:val="000000" w:themeColor="text1"/>
          <w:sz w:val="24"/>
          <w:szCs w:val="24"/>
        </w:rPr>
        <w:t xml:space="preserve"> </w:t>
      </w:r>
      <w:proofErr w:type="spellStart"/>
      <w:r w:rsidR="00041A40">
        <w:rPr>
          <w:rFonts w:ascii="Times New Roman" w:hAnsi="Times New Roman" w:cs="Times New Roman"/>
          <w:color w:val="000000" w:themeColor="text1"/>
          <w:sz w:val="24"/>
          <w:szCs w:val="24"/>
        </w:rPr>
        <w:t>for</w:t>
      </w:r>
      <w:proofErr w:type="spellEnd"/>
      <w:r w:rsidR="00041A40">
        <w:rPr>
          <w:rFonts w:ascii="Times New Roman" w:hAnsi="Times New Roman" w:cs="Times New Roman"/>
          <w:color w:val="000000" w:themeColor="text1"/>
          <w:sz w:val="24"/>
          <w:szCs w:val="24"/>
        </w:rPr>
        <w:t xml:space="preserve"> </w:t>
      </w:r>
      <w:proofErr w:type="spellStart"/>
      <w:r w:rsidR="00041A40">
        <w:rPr>
          <w:rFonts w:ascii="Times New Roman" w:hAnsi="Times New Roman" w:cs="Times New Roman"/>
          <w:color w:val="000000" w:themeColor="text1"/>
          <w:sz w:val="24"/>
          <w:szCs w:val="24"/>
        </w:rPr>
        <w:t>Harmonisation</w:t>
      </w:r>
      <w:proofErr w:type="spellEnd"/>
      <w:r w:rsidR="00041A40">
        <w:rPr>
          <w:rFonts w:ascii="Times New Roman" w:hAnsi="Times New Roman" w:cs="Times New Roman"/>
          <w:color w:val="000000" w:themeColor="text1"/>
          <w:sz w:val="24"/>
          <w:szCs w:val="24"/>
        </w:rPr>
        <w:t>-</w:t>
      </w:r>
      <w:r w:rsidRPr="00A37454">
        <w:rPr>
          <w:rFonts w:ascii="Times New Roman" w:hAnsi="Times New Roman" w:cs="Times New Roman"/>
          <w:color w:val="000000" w:themeColor="text1"/>
          <w:sz w:val="24"/>
          <w:szCs w:val="24"/>
        </w:rPr>
        <w:t xml:space="preserve">ICH) ve </w:t>
      </w:r>
      <w:r w:rsidRPr="00A37454">
        <w:rPr>
          <w:rFonts w:ascii="Times New Roman" w:hAnsi="Times New Roman" w:cs="Times New Roman"/>
          <w:color w:val="000000" w:themeColor="text1"/>
          <w:sz w:val="24"/>
          <w:szCs w:val="24"/>
          <w:shd w:val="clear" w:color="auto" w:fill="FFFFFF"/>
        </w:rPr>
        <w:t>Uluslararası Standartlar Teşkilâtı</w:t>
      </w:r>
      <w:r w:rsidRPr="00A37454">
        <w:rPr>
          <w:rFonts w:ascii="Times New Roman" w:hAnsi="Times New Roman" w:cs="Times New Roman"/>
          <w:color w:val="000000" w:themeColor="text1"/>
          <w:sz w:val="24"/>
          <w:szCs w:val="24"/>
        </w:rPr>
        <w:t xml:space="preserve"> (</w:t>
      </w:r>
      <w:r w:rsidR="00041A40">
        <w:rPr>
          <w:rFonts w:ascii="Times New Roman" w:hAnsi="Times New Roman" w:cs="Times New Roman"/>
          <w:color w:val="000000" w:themeColor="text1"/>
          <w:sz w:val="24"/>
          <w:szCs w:val="24"/>
        </w:rPr>
        <w:t xml:space="preserve">International </w:t>
      </w:r>
      <w:proofErr w:type="spellStart"/>
      <w:r w:rsidR="00B1609F">
        <w:rPr>
          <w:rFonts w:ascii="Times New Roman" w:hAnsi="Times New Roman" w:cs="Times New Roman"/>
          <w:color w:val="000000" w:themeColor="text1"/>
          <w:sz w:val="24"/>
          <w:szCs w:val="24"/>
        </w:rPr>
        <w:t>Organization</w:t>
      </w:r>
      <w:proofErr w:type="spellEnd"/>
      <w:r w:rsidR="00B1609F">
        <w:rPr>
          <w:rFonts w:ascii="Times New Roman" w:hAnsi="Times New Roman" w:cs="Times New Roman"/>
          <w:color w:val="000000" w:themeColor="text1"/>
          <w:sz w:val="24"/>
          <w:szCs w:val="24"/>
        </w:rPr>
        <w:t xml:space="preserve"> </w:t>
      </w:r>
      <w:proofErr w:type="spellStart"/>
      <w:r w:rsidR="00B1609F">
        <w:rPr>
          <w:rFonts w:ascii="Times New Roman" w:hAnsi="Times New Roman" w:cs="Times New Roman"/>
          <w:color w:val="000000" w:themeColor="text1"/>
          <w:sz w:val="24"/>
          <w:szCs w:val="24"/>
        </w:rPr>
        <w:t>for</w:t>
      </w:r>
      <w:proofErr w:type="spellEnd"/>
      <w:r w:rsidR="00B1609F">
        <w:rPr>
          <w:rFonts w:ascii="Times New Roman" w:hAnsi="Times New Roman" w:cs="Times New Roman"/>
          <w:color w:val="000000" w:themeColor="text1"/>
          <w:sz w:val="24"/>
          <w:szCs w:val="24"/>
        </w:rPr>
        <w:t xml:space="preserve"> </w:t>
      </w:r>
      <w:proofErr w:type="spellStart"/>
      <w:r w:rsidR="00B1609F">
        <w:rPr>
          <w:rFonts w:ascii="Times New Roman" w:hAnsi="Times New Roman" w:cs="Times New Roman"/>
          <w:color w:val="000000" w:themeColor="text1"/>
          <w:sz w:val="24"/>
          <w:szCs w:val="24"/>
        </w:rPr>
        <w:t>Standardization</w:t>
      </w:r>
      <w:proofErr w:type="spellEnd"/>
      <w:r w:rsidR="00B1609F">
        <w:rPr>
          <w:rFonts w:ascii="Times New Roman" w:hAnsi="Times New Roman" w:cs="Times New Roman"/>
          <w:color w:val="000000" w:themeColor="text1"/>
          <w:sz w:val="24"/>
          <w:szCs w:val="24"/>
        </w:rPr>
        <w:t xml:space="preserve"> </w:t>
      </w:r>
      <w:r w:rsidR="00041A40">
        <w:rPr>
          <w:rFonts w:ascii="Times New Roman" w:hAnsi="Times New Roman" w:cs="Times New Roman"/>
          <w:color w:val="000000" w:themeColor="text1"/>
          <w:sz w:val="24"/>
          <w:szCs w:val="24"/>
        </w:rPr>
        <w:t>-</w:t>
      </w:r>
      <w:r w:rsidRPr="00A37454">
        <w:rPr>
          <w:rFonts w:ascii="Times New Roman" w:hAnsi="Times New Roman" w:cs="Times New Roman"/>
          <w:color w:val="000000" w:themeColor="text1"/>
          <w:sz w:val="24"/>
          <w:szCs w:val="24"/>
        </w:rPr>
        <w:t>ISO) tarafından yayımlanan ilgili güncel kılavuzları ifade eder</w:t>
      </w:r>
      <w:r w:rsidR="00DF424B">
        <w:rPr>
          <w:rFonts w:ascii="Times New Roman" w:hAnsi="Times New Roman" w:cs="Times New Roman"/>
          <w:color w:val="000000" w:themeColor="text1"/>
          <w:sz w:val="24"/>
          <w:szCs w:val="24"/>
        </w:rPr>
        <w:t>.</w:t>
      </w:r>
      <w:proofErr w:type="gramEnd"/>
    </w:p>
    <w:p w14:paraId="33AC1F75" w14:textId="4B9E2BB5" w:rsidR="00113835" w:rsidRDefault="00450DB6" w:rsidP="00A37454">
      <w:pPr>
        <w:spacing w:line="276" w:lineRule="auto"/>
        <w:jc w:val="both"/>
        <w:rPr>
          <w:rFonts w:ascii="Times New Roman" w:hAnsi="Times New Roman" w:cs="Times New Roman"/>
          <w:bCs/>
          <w:sz w:val="24"/>
          <w:szCs w:val="24"/>
        </w:rPr>
      </w:pPr>
      <w:r>
        <w:rPr>
          <w:rFonts w:ascii="Times New Roman" w:hAnsi="Times New Roman" w:cs="Times New Roman"/>
          <w:sz w:val="24"/>
          <w:szCs w:val="24"/>
        </w:rPr>
        <w:t>5</w:t>
      </w:r>
      <w:r w:rsidRPr="00C01A07">
        <w:rPr>
          <w:rFonts w:ascii="Times New Roman" w:hAnsi="Times New Roman" w:cs="Times New Roman"/>
          <w:sz w:val="24"/>
          <w:szCs w:val="24"/>
        </w:rPr>
        <w:t>) Kurum: Türkiye İlaç ve Tıbbi Cihaz Kurumu</w:t>
      </w:r>
      <w:r w:rsidR="00A57584">
        <w:rPr>
          <w:rFonts w:ascii="Times New Roman" w:hAnsi="Times New Roman" w:cs="Times New Roman"/>
          <w:sz w:val="24"/>
          <w:szCs w:val="24"/>
        </w:rPr>
        <w:t>’nu</w:t>
      </w:r>
      <w:r w:rsidR="004519FE">
        <w:rPr>
          <w:rFonts w:ascii="Times New Roman" w:hAnsi="Times New Roman" w:cs="Times New Roman"/>
          <w:sz w:val="24"/>
          <w:szCs w:val="24"/>
        </w:rPr>
        <w:t xml:space="preserve"> (Tİ</w:t>
      </w:r>
      <w:r w:rsidR="00C62487">
        <w:rPr>
          <w:rFonts w:ascii="Times New Roman" w:hAnsi="Times New Roman" w:cs="Times New Roman"/>
          <w:sz w:val="24"/>
          <w:szCs w:val="24"/>
        </w:rPr>
        <w:t>TCK)</w:t>
      </w:r>
      <w:r w:rsidRPr="00C01A07">
        <w:rPr>
          <w:rFonts w:ascii="Times New Roman" w:hAnsi="Times New Roman" w:cs="Times New Roman"/>
          <w:sz w:val="24"/>
          <w:szCs w:val="24"/>
        </w:rPr>
        <w:t xml:space="preserve"> ifade eder. </w:t>
      </w:r>
    </w:p>
    <w:p w14:paraId="6D3F9C46" w14:textId="77777777" w:rsidR="006A1E15" w:rsidRPr="001F447B" w:rsidRDefault="00450DB6" w:rsidP="00327D21">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4C7E0E">
        <w:rPr>
          <w:rFonts w:ascii="Times New Roman" w:hAnsi="Times New Roman" w:cs="Times New Roman"/>
          <w:sz w:val="24"/>
          <w:szCs w:val="24"/>
        </w:rPr>
        <w:t>)Referan</w:t>
      </w:r>
      <w:r w:rsidR="003041B3">
        <w:rPr>
          <w:rFonts w:ascii="Times New Roman" w:hAnsi="Times New Roman" w:cs="Times New Roman"/>
          <w:sz w:val="24"/>
          <w:szCs w:val="24"/>
        </w:rPr>
        <w:t>s</w:t>
      </w:r>
      <w:r w:rsidR="004C7E0E">
        <w:rPr>
          <w:rFonts w:ascii="Times New Roman" w:hAnsi="Times New Roman" w:cs="Times New Roman"/>
          <w:sz w:val="24"/>
          <w:szCs w:val="24"/>
        </w:rPr>
        <w:t xml:space="preserve"> </w:t>
      </w:r>
      <w:r w:rsidR="00DC471C" w:rsidRPr="00C01A07">
        <w:rPr>
          <w:rFonts w:ascii="Times New Roman" w:hAnsi="Times New Roman" w:cs="Times New Roman"/>
          <w:sz w:val="24"/>
          <w:szCs w:val="24"/>
        </w:rPr>
        <w:t xml:space="preserve">Tıbbi </w:t>
      </w:r>
      <w:proofErr w:type="gramStart"/>
      <w:r w:rsidR="00DC471C" w:rsidRPr="00C01A07">
        <w:rPr>
          <w:rFonts w:ascii="Times New Roman" w:hAnsi="Times New Roman" w:cs="Times New Roman"/>
          <w:sz w:val="24"/>
          <w:szCs w:val="24"/>
        </w:rPr>
        <w:t>Ürün</w:t>
      </w:r>
      <w:r w:rsidR="00C01887">
        <w:rPr>
          <w:rFonts w:ascii="Times New Roman" w:hAnsi="Times New Roman" w:cs="Times New Roman"/>
          <w:sz w:val="24"/>
          <w:szCs w:val="24"/>
        </w:rPr>
        <w:t xml:space="preserve"> </w:t>
      </w:r>
      <w:r w:rsidR="00DC471C" w:rsidRPr="00C01A07">
        <w:rPr>
          <w:rFonts w:ascii="Times New Roman" w:hAnsi="Times New Roman" w:cs="Times New Roman"/>
          <w:sz w:val="24"/>
          <w:szCs w:val="24"/>
        </w:rPr>
        <w:t xml:space="preserve">: </w:t>
      </w:r>
      <w:r w:rsidR="00AC5AED" w:rsidRPr="00C01A07">
        <w:rPr>
          <w:rFonts w:ascii="Times New Roman" w:eastAsia="Calibri" w:hAnsi="Times New Roman" w:cs="Times New Roman"/>
          <w:sz w:val="24"/>
          <w:szCs w:val="24"/>
        </w:rPr>
        <w:t>Y</w:t>
      </w:r>
      <w:r w:rsidR="00A06546" w:rsidRPr="001F447B">
        <w:rPr>
          <w:rFonts w:ascii="Times New Roman" w:eastAsia="Calibri" w:hAnsi="Times New Roman" w:cs="Times New Roman"/>
          <w:sz w:val="24"/>
          <w:szCs w:val="24"/>
        </w:rPr>
        <w:t>etkili</w:t>
      </w:r>
      <w:proofErr w:type="gramEnd"/>
      <w:r w:rsidR="00A06546" w:rsidRPr="001F447B">
        <w:rPr>
          <w:rFonts w:ascii="Times New Roman" w:eastAsia="Calibri" w:hAnsi="Times New Roman" w:cs="Times New Roman"/>
          <w:sz w:val="24"/>
          <w:szCs w:val="24"/>
        </w:rPr>
        <w:t xml:space="preserve"> otoriteler </w:t>
      </w:r>
      <w:r w:rsidR="006A1E15" w:rsidRPr="001F447B">
        <w:rPr>
          <w:rFonts w:ascii="Times New Roman" w:eastAsia="Calibri" w:hAnsi="Times New Roman" w:cs="Times New Roman"/>
          <w:sz w:val="24"/>
          <w:szCs w:val="24"/>
        </w:rPr>
        <w:t xml:space="preserve">tarafından tam dosya ile ruhsatlandırılmış </w:t>
      </w:r>
      <w:r w:rsidR="006A1E15" w:rsidRPr="00C01A07">
        <w:rPr>
          <w:rFonts w:ascii="Times New Roman" w:eastAsia="Calibri" w:hAnsi="Times New Roman" w:cs="Times New Roman"/>
          <w:sz w:val="24"/>
          <w:szCs w:val="24"/>
        </w:rPr>
        <w:t xml:space="preserve">biyolojik tıbbi üründür. </w:t>
      </w:r>
    </w:p>
    <w:p w14:paraId="3C5B224A" w14:textId="77777777" w:rsidR="00496FE0" w:rsidRPr="00C01A07" w:rsidRDefault="00496FE0" w:rsidP="00327D21">
      <w:pPr>
        <w:widowControl w:val="0"/>
        <w:autoSpaceDE w:val="0"/>
        <w:autoSpaceDN w:val="0"/>
        <w:adjustRightInd w:val="0"/>
        <w:spacing w:after="0" w:line="276" w:lineRule="auto"/>
        <w:jc w:val="both"/>
        <w:rPr>
          <w:rFonts w:ascii="Times New Roman" w:hAnsi="Times New Roman" w:cs="Times New Roman"/>
          <w:sz w:val="24"/>
          <w:szCs w:val="24"/>
        </w:rPr>
      </w:pPr>
    </w:p>
    <w:p w14:paraId="0F3F4A47" w14:textId="77777777" w:rsidR="00AE7E62" w:rsidRPr="00CF167F" w:rsidRDefault="00113835" w:rsidP="00CF167F">
      <w:pPr>
        <w:pStyle w:val="ListeParagraf"/>
        <w:numPr>
          <w:ilvl w:val="0"/>
          <w:numId w:val="26"/>
        </w:numPr>
        <w:spacing w:after="0" w:line="276" w:lineRule="auto"/>
        <w:rPr>
          <w:rFonts w:ascii="Times New Roman" w:hAnsi="Times New Roman" w:cs="Times New Roman"/>
          <w:b/>
          <w:sz w:val="24"/>
          <w:szCs w:val="24"/>
        </w:rPr>
      </w:pPr>
      <w:r w:rsidRPr="00CF167F">
        <w:rPr>
          <w:rFonts w:ascii="Times New Roman" w:hAnsi="Times New Roman" w:cs="Times New Roman"/>
          <w:b/>
          <w:sz w:val="24"/>
          <w:szCs w:val="24"/>
        </w:rPr>
        <w:t>B</w:t>
      </w:r>
      <w:r w:rsidR="005954C9" w:rsidRPr="00CF167F">
        <w:rPr>
          <w:rFonts w:ascii="Times New Roman" w:hAnsi="Times New Roman" w:cs="Times New Roman"/>
          <w:b/>
          <w:sz w:val="24"/>
          <w:szCs w:val="24"/>
        </w:rPr>
        <w:t>ÖLÜM</w:t>
      </w:r>
    </w:p>
    <w:p w14:paraId="0A112DA9" w14:textId="77777777" w:rsidR="00CF167F" w:rsidRPr="00CF167F" w:rsidRDefault="00CF167F" w:rsidP="00CF167F">
      <w:pPr>
        <w:pStyle w:val="ListeParagraf"/>
        <w:spacing w:after="0" w:line="276" w:lineRule="auto"/>
        <w:ind w:left="394"/>
        <w:rPr>
          <w:rFonts w:ascii="Times New Roman" w:hAnsi="Times New Roman" w:cs="Times New Roman"/>
          <w:b/>
          <w:sz w:val="24"/>
          <w:szCs w:val="24"/>
        </w:rPr>
      </w:pPr>
    </w:p>
    <w:p w14:paraId="501151C8" w14:textId="77777777" w:rsidR="00AE7E62" w:rsidRPr="00C01A07" w:rsidRDefault="00836A85" w:rsidP="00327D21">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GENEL İLKELER</w:t>
      </w:r>
    </w:p>
    <w:p w14:paraId="437B57FF" w14:textId="77777777" w:rsidR="00DC471C" w:rsidRPr="00C01A07" w:rsidRDefault="00DC471C" w:rsidP="00327D21">
      <w:pPr>
        <w:spacing w:after="0" w:line="276" w:lineRule="auto"/>
        <w:rPr>
          <w:rFonts w:ascii="Times New Roman" w:eastAsia="Calibri" w:hAnsi="Times New Roman" w:cs="Times New Roman"/>
          <w:b/>
          <w:sz w:val="24"/>
          <w:szCs w:val="24"/>
        </w:rPr>
      </w:pPr>
    </w:p>
    <w:p w14:paraId="6DEBB284" w14:textId="77777777" w:rsidR="00DC471C" w:rsidRPr="00C01A07" w:rsidRDefault="00DC471C" w:rsidP="00327D21">
      <w:pPr>
        <w:spacing w:after="0" w:line="276" w:lineRule="auto"/>
        <w:rPr>
          <w:rFonts w:ascii="Times New Roman" w:eastAsia="Calibri" w:hAnsi="Times New Roman" w:cs="Times New Roman"/>
          <w:b/>
          <w:sz w:val="24"/>
          <w:szCs w:val="24"/>
        </w:rPr>
      </w:pPr>
      <w:proofErr w:type="spellStart"/>
      <w:r w:rsidRPr="00C01A07">
        <w:rPr>
          <w:rFonts w:ascii="Times New Roman" w:eastAsia="Calibri" w:hAnsi="Times New Roman" w:cs="Times New Roman"/>
          <w:b/>
          <w:sz w:val="24"/>
          <w:szCs w:val="24"/>
        </w:rPr>
        <w:t>Biyobenzer</w:t>
      </w:r>
      <w:proofErr w:type="spellEnd"/>
      <w:r w:rsidRPr="00C01A07">
        <w:rPr>
          <w:rFonts w:ascii="Times New Roman" w:eastAsia="Calibri" w:hAnsi="Times New Roman" w:cs="Times New Roman"/>
          <w:b/>
          <w:sz w:val="24"/>
          <w:szCs w:val="24"/>
        </w:rPr>
        <w:t xml:space="preserve"> Yaklaşımın Uygulanması</w:t>
      </w:r>
    </w:p>
    <w:p w14:paraId="062C6CD7" w14:textId="77777777" w:rsidR="00DC471C" w:rsidRPr="00C01A07" w:rsidRDefault="00DC471C" w:rsidP="00327D21">
      <w:pPr>
        <w:spacing w:after="0" w:line="276" w:lineRule="auto"/>
        <w:rPr>
          <w:rFonts w:ascii="Times New Roman" w:hAnsi="Times New Roman" w:cs="Times New Roman"/>
          <w:b/>
          <w:sz w:val="24"/>
          <w:szCs w:val="24"/>
        </w:rPr>
      </w:pPr>
    </w:p>
    <w:p w14:paraId="71582362" w14:textId="77777777" w:rsidR="00113835" w:rsidRPr="00A37454" w:rsidRDefault="00DC471C" w:rsidP="00A37454">
      <w:pPr>
        <w:spacing w:after="0" w:line="276" w:lineRule="auto"/>
        <w:jc w:val="both"/>
        <w:rPr>
          <w:rFonts w:ascii="Times New Roman" w:eastAsia="Calibri" w:hAnsi="Times New Roman" w:cs="Times New Roman"/>
          <w:sz w:val="24"/>
          <w:szCs w:val="24"/>
        </w:rPr>
      </w:pPr>
      <w:r w:rsidRPr="00C01A07">
        <w:rPr>
          <w:rFonts w:ascii="Times New Roman" w:hAnsi="Times New Roman" w:cs="Times New Roman"/>
          <w:b/>
          <w:sz w:val="24"/>
          <w:szCs w:val="24"/>
        </w:rPr>
        <w:t xml:space="preserve">MADDE </w:t>
      </w:r>
      <w:r w:rsidR="0075771D">
        <w:rPr>
          <w:rFonts w:ascii="Times New Roman" w:hAnsi="Times New Roman" w:cs="Times New Roman"/>
          <w:b/>
          <w:sz w:val="24"/>
          <w:szCs w:val="24"/>
        </w:rPr>
        <w:t>5</w:t>
      </w:r>
      <w:r w:rsidR="0075771D" w:rsidRPr="00C01A07">
        <w:rPr>
          <w:rFonts w:ascii="Times New Roman" w:hAnsi="Times New Roman" w:cs="Times New Roman"/>
          <w:b/>
          <w:sz w:val="24"/>
          <w:szCs w:val="24"/>
        </w:rPr>
        <w:t xml:space="preserve"> </w:t>
      </w:r>
      <w:r w:rsidRPr="00C01A07">
        <w:rPr>
          <w:rFonts w:ascii="Times New Roman" w:hAnsi="Times New Roman" w:cs="Times New Roman"/>
          <w:b/>
          <w:sz w:val="24"/>
          <w:szCs w:val="24"/>
        </w:rPr>
        <w:t>–</w:t>
      </w:r>
      <w:r w:rsidR="005B311D" w:rsidRPr="00C01A07">
        <w:rPr>
          <w:rFonts w:ascii="Times New Roman" w:hAnsi="Times New Roman" w:cs="Times New Roman"/>
          <w:b/>
          <w:sz w:val="24"/>
          <w:szCs w:val="24"/>
        </w:rPr>
        <w:t xml:space="preserve"> </w:t>
      </w:r>
      <w:r w:rsidR="00447F4A">
        <w:rPr>
          <w:rFonts w:ascii="Times New Roman" w:eastAsia="Calibri" w:hAnsi="Times New Roman" w:cs="Times New Roman"/>
          <w:sz w:val="24"/>
          <w:szCs w:val="24"/>
        </w:rPr>
        <w:t>(1</w:t>
      </w:r>
      <w:r w:rsidR="00332F5B" w:rsidRPr="00444B88">
        <w:rPr>
          <w:rFonts w:ascii="Times New Roman" w:eastAsia="Calibri" w:hAnsi="Times New Roman" w:cs="Times New Roman"/>
          <w:sz w:val="24"/>
          <w:szCs w:val="24"/>
        </w:rPr>
        <w:t xml:space="preserve">) </w:t>
      </w:r>
      <w:r w:rsidR="00BE0414" w:rsidRPr="00444B88">
        <w:rPr>
          <w:rFonts w:ascii="Times New Roman" w:eastAsia="Calibri" w:hAnsi="Times New Roman" w:cs="Times New Roman"/>
          <w:sz w:val="24"/>
          <w:szCs w:val="24"/>
        </w:rPr>
        <w:t xml:space="preserve">Kapsamlı bir </w:t>
      </w:r>
      <w:proofErr w:type="spellStart"/>
      <w:r w:rsidR="00BE0414" w:rsidRPr="00444B88">
        <w:rPr>
          <w:rFonts w:ascii="Times New Roman" w:eastAsia="Calibri" w:hAnsi="Times New Roman" w:cs="Times New Roman"/>
          <w:sz w:val="24"/>
          <w:szCs w:val="24"/>
        </w:rPr>
        <w:t>karşılaştırılabilirlik</w:t>
      </w:r>
      <w:proofErr w:type="spellEnd"/>
      <w:r w:rsidR="00BE0414" w:rsidRPr="00444B88">
        <w:rPr>
          <w:rFonts w:ascii="Times New Roman" w:eastAsia="Calibri" w:hAnsi="Times New Roman" w:cs="Times New Roman"/>
          <w:sz w:val="24"/>
          <w:szCs w:val="24"/>
        </w:rPr>
        <w:t xml:space="preserve"> çalışmasına dayalı olarak, kalite</w:t>
      </w:r>
      <w:r w:rsidR="00332F5B" w:rsidRPr="00444B88">
        <w:rPr>
          <w:rFonts w:ascii="Times New Roman" w:eastAsia="Calibri" w:hAnsi="Times New Roman" w:cs="Times New Roman"/>
          <w:sz w:val="24"/>
          <w:szCs w:val="24"/>
        </w:rPr>
        <w:t>,</w:t>
      </w:r>
      <w:r w:rsidR="00BE0414" w:rsidRPr="00444B88">
        <w:rPr>
          <w:rFonts w:ascii="Times New Roman" w:eastAsia="Calibri" w:hAnsi="Times New Roman" w:cs="Times New Roman"/>
          <w:sz w:val="24"/>
          <w:szCs w:val="24"/>
        </w:rPr>
        <w:t xml:space="preserve"> güvenlilik ve etkililik bakımından referans tıbbi ürüne benzerliğin gösterilmesi gerekmektedir.</w:t>
      </w:r>
      <w:r w:rsidR="00A8475E" w:rsidRPr="00444B88">
        <w:rPr>
          <w:rFonts w:ascii="Times New Roman" w:eastAsia="Calibri" w:hAnsi="Times New Roman" w:cs="Times New Roman"/>
          <w:sz w:val="24"/>
          <w:szCs w:val="24"/>
        </w:rPr>
        <w:t xml:space="preserve"> </w:t>
      </w:r>
    </w:p>
    <w:p w14:paraId="5D52580B" w14:textId="77777777" w:rsidR="00DC471C" w:rsidRPr="00C01A07" w:rsidRDefault="00DC471C" w:rsidP="00327D21">
      <w:pPr>
        <w:spacing w:after="0" w:line="276" w:lineRule="auto"/>
        <w:rPr>
          <w:rFonts w:ascii="Times New Roman" w:eastAsia="Calibri" w:hAnsi="Times New Roman" w:cs="Times New Roman"/>
          <w:sz w:val="24"/>
          <w:szCs w:val="24"/>
        </w:rPr>
      </w:pPr>
    </w:p>
    <w:p w14:paraId="3B087823" w14:textId="77777777" w:rsidR="00F17A04" w:rsidRDefault="005B311D" w:rsidP="00F17A04">
      <w:pPr>
        <w:spacing w:after="0" w:line="276" w:lineRule="auto"/>
        <w:jc w:val="both"/>
        <w:rPr>
          <w:rFonts w:ascii="Times New Roman" w:eastAsia="Calibri" w:hAnsi="Times New Roman" w:cs="Times New Roman"/>
          <w:sz w:val="24"/>
          <w:szCs w:val="24"/>
        </w:rPr>
      </w:pPr>
      <w:r w:rsidRPr="00C01A07">
        <w:rPr>
          <w:rFonts w:ascii="Times New Roman" w:eastAsia="Calibri" w:hAnsi="Times New Roman" w:cs="Times New Roman"/>
          <w:sz w:val="24"/>
          <w:szCs w:val="24"/>
        </w:rPr>
        <w:t>(</w:t>
      </w:r>
      <w:r w:rsidR="00447F4A">
        <w:rPr>
          <w:rFonts w:ascii="Times New Roman" w:eastAsia="Calibri" w:hAnsi="Times New Roman" w:cs="Times New Roman"/>
          <w:sz w:val="24"/>
          <w:szCs w:val="24"/>
        </w:rPr>
        <w:t>2</w:t>
      </w:r>
      <w:r w:rsidRPr="00C01A07">
        <w:rPr>
          <w:rFonts w:ascii="Times New Roman" w:eastAsia="Calibri" w:hAnsi="Times New Roman" w:cs="Times New Roman"/>
          <w:sz w:val="24"/>
          <w:szCs w:val="24"/>
        </w:rPr>
        <w:t>)</w:t>
      </w:r>
      <w:r w:rsidR="00561031">
        <w:rPr>
          <w:rFonts w:ascii="Times New Roman" w:eastAsia="Calibri" w:hAnsi="Times New Roman" w:cs="Times New Roman"/>
          <w:sz w:val="24"/>
          <w:szCs w:val="24"/>
        </w:rPr>
        <w:t xml:space="preserve"> </w:t>
      </w:r>
      <w:r w:rsidR="00DC471C" w:rsidRPr="00444B88">
        <w:rPr>
          <w:rFonts w:ascii="Times New Roman" w:eastAsia="Calibri" w:hAnsi="Times New Roman" w:cs="Times New Roman"/>
          <w:sz w:val="24"/>
          <w:szCs w:val="24"/>
        </w:rPr>
        <w:t xml:space="preserve">İlke olarak </w:t>
      </w:r>
      <w:proofErr w:type="spellStart"/>
      <w:r w:rsidR="00DC471C" w:rsidRPr="00444B88">
        <w:rPr>
          <w:rFonts w:ascii="Times New Roman" w:eastAsia="Calibri" w:hAnsi="Times New Roman" w:cs="Times New Roman"/>
          <w:sz w:val="24"/>
          <w:szCs w:val="24"/>
        </w:rPr>
        <w:t>biyo</w:t>
      </w:r>
      <w:r w:rsidR="00D825DD">
        <w:rPr>
          <w:rFonts w:ascii="Times New Roman" w:eastAsia="Calibri" w:hAnsi="Times New Roman" w:cs="Times New Roman"/>
          <w:sz w:val="24"/>
          <w:szCs w:val="24"/>
        </w:rPr>
        <w:t>benzerlik</w:t>
      </w:r>
      <w:proofErr w:type="spellEnd"/>
      <w:r w:rsidR="00D825DD">
        <w:rPr>
          <w:rFonts w:ascii="Times New Roman" w:eastAsia="Calibri" w:hAnsi="Times New Roman" w:cs="Times New Roman"/>
          <w:sz w:val="24"/>
          <w:szCs w:val="24"/>
        </w:rPr>
        <w:t xml:space="preserve"> kavramı, </w:t>
      </w:r>
      <w:r w:rsidR="00DC471C" w:rsidRPr="00444B88">
        <w:rPr>
          <w:rFonts w:ascii="Times New Roman" w:eastAsia="Calibri" w:hAnsi="Times New Roman" w:cs="Times New Roman"/>
          <w:sz w:val="24"/>
          <w:szCs w:val="24"/>
        </w:rPr>
        <w:t>biyolojik tıbbi ürün</w:t>
      </w:r>
      <w:r w:rsidR="00D825DD">
        <w:rPr>
          <w:rFonts w:ascii="Times New Roman" w:eastAsia="Calibri" w:hAnsi="Times New Roman" w:cs="Times New Roman"/>
          <w:sz w:val="24"/>
          <w:szCs w:val="24"/>
        </w:rPr>
        <w:t>lerin tümü</w:t>
      </w:r>
      <w:r w:rsidR="00DC471C" w:rsidRPr="00444B88">
        <w:rPr>
          <w:rFonts w:ascii="Times New Roman" w:eastAsia="Calibri" w:hAnsi="Times New Roman" w:cs="Times New Roman"/>
          <w:sz w:val="24"/>
          <w:szCs w:val="24"/>
        </w:rPr>
        <w:t xml:space="preserve"> için geçerlidir. Uygulamada bir </w:t>
      </w:r>
      <w:proofErr w:type="spellStart"/>
      <w:r w:rsidR="00DC471C" w:rsidRPr="00444B88">
        <w:rPr>
          <w:rFonts w:ascii="Times New Roman" w:eastAsia="Calibri" w:hAnsi="Times New Roman" w:cs="Times New Roman"/>
          <w:sz w:val="24"/>
          <w:szCs w:val="24"/>
        </w:rPr>
        <w:t>biyobenzer</w:t>
      </w:r>
      <w:proofErr w:type="spellEnd"/>
      <w:r w:rsidR="00001294" w:rsidRPr="00444B88">
        <w:rPr>
          <w:rFonts w:ascii="Times New Roman" w:eastAsia="Calibri" w:hAnsi="Times New Roman" w:cs="Times New Roman"/>
          <w:sz w:val="24"/>
          <w:szCs w:val="24"/>
        </w:rPr>
        <w:t xml:space="preserve"> tıbbi ürünü </w:t>
      </w:r>
      <w:r w:rsidR="00DC471C" w:rsidRPr="00444B88">
        <w:rPr>
          <w:rFonts w:ascii="Times New Roman" w:eastAsia="Calibri" w:hAnsi="Times New Roman" w:cs="Times New Roman"/>
          <w:sz w:val="24"/>
          <w:szCs w:val="24"/>
        </w:rPr>
        <w:t xml:space="preserve">başarı ile geliştirmek, referans tıbbi ürüne benzer bir tıbbi ürün üretebilme yeterliliğine ve ilgili ürünlerin benzerliklerinin </w:t>
      </w:r>
      <w:r w:rsidR="006A1E15" w:rsidRPr="00444B88">
        <w:rPr>
          <w:rFonts w:ascii="Times New Roman" w:eastAsia="Calibri" w:hAnsi="Times New Roman" w:cs="Times New Roman"/>
          <w:sz w:val="24"/>
          <w:szCs w:val="24"/>
        </w:rPr>
        <w:t>k</w:t>
      </w:r>
      <w:r w:rsidR="00DC471C" w:rsidRPr="00444B88">
        <w:rPr>
          <w:rFonts w:ascii="Times New Roman" w:eastAsia="Calibri" w:hAnsi="Times New Roman" w:cs="Times New Roman"/>
          <w:sz w:val="24"/>
          <w:szCs w:val="24"/>
        </w:rPr>
        <w:t>an</w:t>
      </w:r>
      <w:r w:rsidR="004E071E">
        <w:rPr>
          <w:rFonts w:ascii="Times New Roman" w:eastAsia="Calibri" w:hAnsi="Times New Roman" w:cs="Times New Roman"/>
          <w:sz w:val="24"/>
          <w:szCs w:val="24"/>
        </w:rPr>
        <w:t xml:space="preserve">ıtlanmasına </w:t>
      </w:r>
      <w:r w:rsidR="00DC471C" w:rsidRPr="00444B88">
        <w:rPr>
          <w:rFonts w:ascii="Times New Roman" w:eastAsia="Calibri" w:hAnsi="Times New Roman" w:cs="Times New Roman"/>
          <w:sz w:val="24"/>
          <w:szCs w:val="24"/>
        </w:rPr>
        <w:t>bağlıdır.</w:t>
      </w:r>
      <w:r w:rsidR="00332F5B" w:rsidRPr="00444B88">
        <w:rPr>
          <w:rFonts w:ascii="Times New Roman" w:eastAsia="Calibri" w:hAnsi="Times New Roman" w:cs="Times New Roman"/>
          <w:sz w:val="24"/>
          <w:szCs w:val="24"/>
        </w:rPr>
        <w:t xml:space="preserve"> </w:t>
      </w:r>
      <w:r w:rsidR="00DE2010" w:rsidRPr="00444B88">
        <w:rPr>
          <w:rFonts w:ascii="Times New Roman" w:eastAsia="Calibri" w:hAnsi="Times New Roman" w:cs="Times New Roman"/>
          <w:sz w:val="24"/>
          <w:szCs w:val="24"/>
        </w:rPr>
        <w:t>Bunun için</w:t>
      </w:r>
      <w:r w:rsidR="005D4D49" w:rsidRPr="00444B88">
        <w:rPr>
          <w:rFonts w:ascii="Times New Roman" w:eastAsia="Calibri" w:hAnsi="Times New Roman" w:cs="Times New Roman"/>
          <w:sz w:val="24"/>
          <w:szCs w:val="24"/>
        </w:rPr>
        <w:t>, başvuru dosyası</w:t>
      </w:r>
      <w:r w:rsidR="00DE2010" w:rsidRPr="00444B88">
        <w:rPr>
          <w:rFonts w:ascii="Times New Roman" w:eastAsia="Calibri" w:hAnsi="Times New Roman" w:cs="Times New Roman"/>
          <w:sz w:val="24"/>
          <w:szCs w:val="24"/>
        </w:rPr>
        <w:t xml:space="preserve"> kapsamlı </w:t>
      </w:r>
      <w:proofErr w:type="spellStart"/>
      <w:r w:rsidR="00DE2010" w:rsidRPr="00444B88">
        <w:rPr>
          <w:rFonts w:ascii="Times New Roman" w:eastAsia="Calibri" w:hAnsi="Times New Roman" w:cs="Times New Roman"/>
          <w:sz w:val="24"/>
          <w:szCs w:val="24"/>
        </w:rPr>
        <w:t>fizikokimyasal</w:t>
      </w:r>
      <w:proofErr w:type="spellEnd"/>
      <w:r w:rsidR="00DE2010" w:rsidRPr="00444B88">
        <w:rPr>
          <w:rFonts w:ascii="Times New Roman" w:eastAsia="Calibri" w:hAnsi="Times New Roman" w:cs="Times New Roman"/>
          <w:sz w:val="24"/>
          <w:szCs w:val="24"/>
        </w:rPr>
        <w:t xml:space="preserve"> ve biyolojik </w:t>
      </w:r>
      <w:proofErr w:type="spellStart"/>
      <w:r w:rsidR="00DE2010" w:rsidRPr="00444B88">
        <w:rPr>
          <w:rFonts w:ascii="Times New Roman" w:eastAsia="Calibri" w:hAnsi="Times New Roman" w:cs="Times New Roman"/>
          <w:sz w:val="24"/>
          <w:szCs w:val="24"/>
        </w:rPr>
        <w:t>karakterizasyon</w:t>
      </w:r>
      <w:proofErr w:type="spellEnd"/>
      <w:r w:rsidR="00DE2010" w:rsidRPr="00444B88">
        <w:rPr>
          <w:rFonts w:ascii="Times New Roman" w:eastAsia="Calibri" w:hAnsi="Times New Roman" w:cs="Times New Roman"/>
          <w:sz w:val="24"/>
          <w:szCs w:val="24"/>
        </w:rPr>
        <w:t xml:space="preserve"> </w:t>
      </w:r>
      <w:r w:rsidR="00DA1CE9" w:rsidRPr="00444B88">
        <w:rPr>
          <w:rFonts w:ascii="Times New Roman" w:eastAsia="Calibri" w:hAnsi="Times New Roman" w:cs="Times New Roman"/>
          <w:sz w:val="24"/>
          <w:szCs w:val="24"/>
        </w:rPr>
        <w:t xml:space="preserve">ile </w:t>
      </w:r>
      <w:r w:rsidR="009370BC" w:rsidRPr="00444B88">
        <w:rPr>
          <w:rFonts w:ascii="Times New Roman" w:eastAsia="Calibri" w:hAnsi="Times New Roman" w:cs="Times New Roman"/>
          <w:sz w:val="24"/>
          <w:szCs w:val="24"/>
        </w:rPr>
        <w:t xml:space="preserve">etkililik ve güvenlilik </w:t>
      </w:r>
      <w:r w:rsidR="00DA1CE9" w:rsidRPr="00444B88">
        <w:rPr>
          <w:rFonts w:ascii="Times New Roman" w:eastAsia="Calibri" w:hAnsi="Times New Roman" w:cs="Times New Roman"/>
          <w:sz w:val="24"/>
          <w:szCs w:val="24"/>
        </w:rPr>
        <w:t>karşılaştırma çalışmalarını içermelidir.</w:t>
      </w:r>
      <w:r w:rsidR="00F17A04">
        <w:rPr>
          <w:rFonts w:ascii="Times New Roman" w:eastAsia="Calibri" w:hAnsi="Times New Roman" w:cs="Times New Roman"/>
          <w:sz w:val="24"/>
          <w:szCs w:val="24"/>
        </w:rPr>
        <w:t xml:space="preserve"> </w:t>
      </w:r>
    </w:p>
    <w:p w14:paraId="4EF59DE5" w14:textId="77777777" w:rsidR="00F917B8" w:rsidRDefault="00F917B8" w:rsidP="00F17A04">
      <w:pPr>
        <w:spacing w:after="0" w:line="276" w:lineRule="auto"/>
        <w:jc w:val="both"/>
        <w:rPr>
          <w:rFonts w:ascii="Times New Roman" w:eastAsia="Calibri" w:hAnsi="Times New Roman" w:cs="Times New Roman"/>
          <w:sz w:val="24"/>
          <w:szCs w:val="24"/>
        </w:rPr>
      </w:pPr>
    </w:p>
    <w:p w14:paraId="3FB74976" w14:textId="77777777" w:rsidR="005C5BB0" w:rsidRPr="00854695" w:rsidRDefault="00113835" w:rsidP="005C5BB0">
      <w:pPr>
        <w:spacing w:after="0" w:line="276" w:lineRule="auto"/>
        <w:jc w:val="both"/>
        <w:rPr>
          <w:rFonts w:ascii="Times New Roman" w:eastAsia="Calibri" w:hAnsi="Times New Roman" w:cs="Times New Roman"/>
          <w:sz w:val="24"/>
          <w:szCs w:val="24"/>
        </w:rPr>
      </w:pPr>
      <w:r w:rsidRPr="00A37454">
        <w:rPr>
          <w:rFonts w:ascii="Times New Roman" w:eastAsia="Calibri" w:hAnsi="Times New Roman" w:cs="Times New Roman"/>
          <w:sz w:val="24"/>
          <w:szCs w:val="24"/>
        </w:rPr>
        <w:t>(</w:t>
      </w:r>
      <w:r w:rsidR="00165125">
        <w:rPr>
          <w:rFonts w:ascii="Times New Roman" w:eastAsia="Calibri" w:hAnsi="Times New Roman" w:cs="Times New Roman"/>
          <w:sz w:val="24"/>
          <w:szCs w:val="24"/>
        </w:rPr>
        <w:t>3</w:t>
      </w:r>
      <w:r w:rsidRPr="00A37454">
        <w:rPr>
          <w:rFonts w:ascii="Times New Roman" w:eastAsia="Calibri" w:hAnsi="Times New Roman" w:cs="Times New Roman"/>
          <w:sz w:val="24"/>
          <w:szCs w:val="24"/>
        </w:rPr>
        <w:t xml:space="preserve">) </w:t>
      </w:r>
      <w:r w:rsidRPr="00854695">
        <w:rPr>
          <w:rFonts w:ascii="Times New Roman" w:eastAsia="Calibri" w:hAnsi="Times New Roman" w:cs="Times New Roman"/>
          <w:sz w:val="24"/>
          <w:szCs w:val="24"/>
        </w:rPr>
        <w:t xml:space="preserve">Eğer </w:t>
      </w:r>
      <w:proofErr w:type="spellStart"/>
      <w:r w:rsidRPr="00854695">
        <w:rPr>
          <w:rFonts w:ascii="Times New Roman" w:eastAsia="Calibri" w:hAnsi="Times New Roman" w:cs="Times New Roman"/>
          <w:sz w:val="24"/>
          <w:szCs w:val="24"/>
        </w:rPr>
        <w:t>biyobenzer</w:t>
      </w:r>
      <w:proofErr w:type="spellEnd"/>
      <w:r w:rsidRPr="00854695">
        <w:rPr>
          <w:rFonts w:ascii="Times New Roman" w:eastAsia="Calibri" w:hAnsi="Times New Roman" w:cs="Times New Roman"/>
          <w:sz w:val="24"/>
          <w:szCs w:val="24"/>
        </w:rPr>
        <w:t xml:space="preserve"> </w:t>
      </w:r>
      <w:proofErr w:type="spellStart"/>
      <w:r w:rsidRPr="00854695">
        <w:rPr>
          <w:rFonts w:ascii="Times New Roman" w:eastAsia="Calibri" w:hAnsi="Times New Roman" w:cs="Times New Roman"/>
          <w:sz w:val="24"/>
          <w:szCs w:val="24"/>
        </w:rPr>
        <w:t>karşılaştırılabilirlik</w:t>
      </w:r>
      <w:proofErr w:type="spellEnd"/>
      <w:r w:rsidRPr="00854695">
        <w:rPr>
          <w:rFonts w:ascii="Times New Roman" w:eastAsia="Calibri" w:hAnsi="Times New Roman" w:cs="Times New Roman"/>
          <w:sz w:val="24"/>
          <w:szCs w:val="24"/>
        </w:rPr>
        <w:t xml:space="preserve"> analizleri sonucunda </w:t>
      </w:r>
      <w:proofErr w:type="spellStart"/>
      <w:r w:rsidRPr="00854695">
        <w:rPr>
          <w:rFonts w:ascii="Times New Roman" w:eastAsia="Calibri" w:hAnsi="Times New Roman" w:cs="Times New Roman"/>
          <w:sz w:val="24"/>
          <w:szCs w:val="24"/>
        </w:rPr>
        <w:t>biyobenzerliği</w:t>
      </w:r>
      <w:proofErr w:type="spellEnd"/>
      <w:r w:rsidR="009C0C70">
        <w:rPr>
          <w:rFonts w:ascii="Times New Roman" w:eastAsia="Calibri" w:hAnsi="Times New Roman" w:cs="Times New Roman"/>
          <w:sz w:val="24"/>
          <w:szCs w:val="24"/>
        </w:rPr>
        <w:t xml:space="preserve"> o</w:t>
      </w:r>
      <w:r w:rsidRPr="00854695">
        <w:rPr>
          <w:rFonts w:ascii="Times New Roman" w:eastAsia="Calibri" w:hAnsi="Times New Roman" w:cs="Times New Roman"/>
          <w:sz w:val="24"/>
          <w:szCs w:val="24"/>
        </w:rPr>
        <w:t xml:space="preserve">lanaksız hale getirecek </w:t>
      </w:r>
      <w:r w:rsidR="009C0C70">
        <w:rPr>
          <w:rFonts w:ascii="Times New Roman" w:eastAsia="Calibri" w:hAnsi="Times New Roman" w:cs="Times New Roman"/>
          <w:sz w:val="24"/>
          <w:szCs w:val="24"/>
        </w:rPr>
        <w:t>v</w:t>
      </w:r>
      <w:r w:rsidR="00C443D8" w:rsidRPr="00854695">
        <w:rPr>
          <w:rFonts w:ascii="Times New Roman" w:eastAsia="Calibri" w:hAnsi="Times New Roman" w:cs="Times New Roman"/>
          <w:sz w:val="24"/>
          <w:szCs w:val="24"/>
        </w:rPr>
        <w:t xml:space="preserve">eriler elde ediliyor, </w:t>
      </w:r>
      <w:proofErr w:type="spellStart"/>
      <w:r w:rsidRPr="00854695">
        <w:rPr>
          <w:rFonts w:ascii="Times New Roman" w:eastAsia="Calibri" w:hAnsi="Times New Roman" w:cs="Times New Roman"/>
          <w:sz w:val="24"/>
          <w:szCs w:val="24"/>
        </w:rPr>
        <w:t>biyobenzer</w:t>
      </w:r>
      <w:proofErr w:type="spellEnd"/>
      <w:r w:rsidRPr="00854695">
        <w:rPr>
          <w:rFonts w:ascii="Times New Roman" w:eastAsia="Calibri" w:hAnsi="Times New Roman" w:cs="Times New Roman"/>
          <w:sz w:val="24"/>
          <w:szCs w:val="24"/>
        </w:rPr>
        <w:t xml:space="preserve"> ve referans tıbbi ürün arasında önemli farklılıklar bulunuyor</w:t>
      </w:r>
      <w:r w:rsidR="005C5BB0" w:rsidRPr="00854695">
        <w:rPr>
          <w:rFonts w:ascii="Times New Roman" w:eastAsia="Calibri" w:hAnsi="Times New Roman" w:cs="Times New Roman"/>
          <w:sz w:val="24"/>
          <w:szCs w:val="24"/>
        </w:rPr>
        <w:t xml:space="preserve"> ve bu farklılıklar klinik açıdan gerekçelendirilemiyor</w:t>
      </w:r>
      <w:r w:rsidRPr="00854695">
        <w:rPr>
          <w:rFonts w:ascii="Times New Roman" w:eastAsia="Calibri" w:hAnsi="Times New Roman" w:cs="Times New Roman"/>
          <w:sz w:val="24"/>
          <w:szCs w:val="24"/>
        </w:rPr>
        <w:t xml:space="preserve"> ise, </w:t>
      </w:r>
      <w:r w:rsidR="005C5BB0" w:rsidRPr="00854695">
        <w:rPr>
          <w:rFonts w:ascii="Times New Roman" w:hAnsi="Times New Roman" w:cs="Times New Roman"/>
          <w:sz w:val="24"/>
          <w:szCs w:val="24"/>
        </w:rPr>
        <w:t xml:space="preserve">referans tıbbi ürüne benzerlik söz konusu olamayacağından, </w:t>
      </w:r>
      <w:proofErr w:type="spellStart"/>
      <w:r w:rsidR="005C5BB0" w:rsidRPr="00854695">
        <w:rPr>
          <w:rFonts w:ascii="Times New Roman" w:hAnsi="Times New Roman" w:cs="Times New Roman"/>
          <w:sz w:val="24"/>
          <w:szCs w:val="24"/>
        </w:rPr>
        <w:t>biyobenzer</w:t>
      </w:r>
      <w:proofErr w:type="spellEnd"/>
      <w:r w:rsidR="005C5BB0" w:rsidRPr="00854695">
        <w:rPr>
          <w:rFonts w:ascii="Times New Roman" w:hAnsi="Times New Roman" w:cs="Times New Roman"/>
          <w:sz w:val="24"/>
          <w:szCs w:val="24"/>
        </w:rPr>
        <w:t xml:space="preserve"> ruhsatlandırma başvurusu yerine yeni ürün ruhsat başvurusu yapılması uygun olacaktır</w:t>
      </w:r>
    </w:p>
    <w:p w14:paraId="758A0397" w14:textId="77777777" w:rsidR="00412075" w:rsidRDefault="00412075" w:rsidP="00F17A04">
      <w:pPr>
        <w:spacing w:after="0" w:line="276" w:lineRule="auto"/>
        <w:jc w:val="both"/>
        <w:rPr>
          <w:rFonts w:ascii="Times New Roman" w:eastAsia="Calibri" w:hAnsi="Times New Roman" w:cs="Times New Roman"/>
          <w:sz w:val="24"/>
          <w:szCs w:val="24"/>
        </w:rPr>
      </w:pPr>
    </w:p>
    <w:p w14:paraId="4AB89BE2" w14:textId="77777777" w:rsidR="00381998" w:rsidRDefault="00113835" w:rsidP="00381998">
      <w:pPr>
        <w:spacing w:after="0" w:line="276" w:lineRule="auto"/>
        <w:jc w:val="both"/>
        <w:rPr>
          <w:rFonts w:ascii="Times New Roman" w:eastAsia="Calibri" w:hAnsi="Times New Roman" w:cs="Times New Roman"/>
          <w:sz w:val="24"/>
          <w:szCs w:val="24"/>
        </w:rPr>
      </w:pPr>
      <w:r w:rsidRPr="00A37454">
        <w:rPr>
          <w:rFonts w:ascii="Times New Roman" w:eastAsia="Calibri" w:hAnsi="Times New Roman" w:cs="Times New Roman"/>
          <w:sz w:val="24"/>
          <w:szCs w:val="24"/>
        </w:rPr>
        <w:t>(</w:t>
      </w:r>
      <w:r w:rsidR="00C50D33">
        <w:rPr>
          <w:rFonts w:ascii="Times New Roman" w:eastAsia="Calibri" w:hAnsi="Times New Roman" w:cs="Times New Roman"/>
          <w:sz w:val="24"/>
          <w:szCs w:val="24"/>
        </w:rPr>
        <w:t>4</w:t>
      </w:r>
      <w:r w:rsidRPr="00A37454">
        <w:rPr>
          <w:rFonts w:ascii="Times New Roman" w:eastAsia="Calibri" w:hAnsi="Times New Roman" w:cs="Times New Roman"/>
          <w:sz w:val="24"/>
          <w:szCs w:val="24"/>
        </w:rPr>
        <w:t>)</w:t>
      </w:r>
      <w:r w:rsidR="00FA2EDB">
        <w:rPr>
          <w:rFonts w:ascii="Times New Roman" w:eastAsia="Calibri" w:hAnsi="Times New Roman" w:cs="Times New Roman"/>
          <w:sz w:val="24"/>
          <w:szCs w:val="24"/>
        </w:rPr>
        <w:t xml:space="preserve"> </w:t>
      </w:r>
      <w:proofErr w:type="spellStart"/>
      <w:r w:rsidRPr="00444B88">
        <w:rPr>
          <w:rFonts w:ascii="Times New Roman" w:eastAsia="Calibri" w:hAnsi="Times New Roman" w:cs="Times New Roman"/>
          <w:sz w:val="24"/>
          <w:szCs w:val="24"/>
        </w:rPr>
        <w:t>Biyobenzer</w:t>
      </w:r>
      <w:proofErr w:type="spellEnd"/>
      <w:r w:rsidRPr="00444B88">
        <w:rPr>
          <w:rFonts w:ascii="Times New Roman" w:eastAsia="Calibri" w:hAnsi="Times New Roman" w:cs="Times New Roman"/>
          <w:sz w:val="24"/>
          <w:szCs w:val="24"/>
        </w:rPr>
        <w:t xml:space="preserve"> tıbbi ürüne ait dosyada sunulan ayrıntılı kalite ve </w:t>
      </w:r>
      <w:proofErr w:type="spellStart"/>
      <w:r w:rsidRPr="00444B88">
        <w:rPr>
          <w:rFonts w:ascii="Times New Roman" w:eastAsia="Calibri" w:hAnsi="Times New Roman" w:cs="Times New Roman"/>
          <w:sz w:val="24"/>
          <w:szCs w:val="24"/>
        </w:rPr>
        <w:t>karşılaştırılabilirlilik</w:t>
      </w:r>
      <w:proofErr w:type="spellEnd"/>
      <w:r w:rsidRPr="00444B88">
        <w:rPr>
          <w:rFonts w:ascii="Times New Roman" w:eastAsia="Calibri" w:hAnsi="Times New Roman" w:cs="Times New Roman"/>
          <w:sz w:val="24"/>
          <w:szCs w:val="24"/>
        </w:rPr>
        <w:t xml:space="preserve"> verileri; kullanılan analitik yöntemleri, </w:t>
      </w:r>
      <w:proofErr w:type="spellStart"/>
      <w:r w:rsidRPr="00444B88">
        <w:rPr>
          <w:rFonts w:ascii="Times New Roman" w:eastAsia="Calibri" w:hAnsi="Times New Roman" w:cs="Times New Roman"/>
          <w:sz w:val="24"/>
          <w:szCs w:val="24"/>
        </w:rPr>
        <w:t>fizikokimyasal</w:t>
      </w:r>
      <w:proofErr w:type="spellEnd"/>
      <w:r w:rsidRPr="00444B88">
        <w:rPr>
          <w:rFonts w:ascii="Times New Roman" w:eastAsia="Calibri" w:hAnsi="Times New Roman" w:cs="Times New Roman"/>
          <w:sz w:val="24"/>
          <w:szCs w:val="24"/>
        </w:rPr>
        <w:t xml:space="preserve"> </w:t>
      </w:r>
      <w:proofErr w:type="spellStart"/>
      <w:r w:rsidRPr="00444B88">
        <w:rPr>
          <w:rFonts w:ascii="Times New Roman" w:eastAsia="Calibri" w:hAnsi="Times New Roman" w:cs="Times New Roman"/>
          <w:sz w:val="24"/>
          <w:szCs w:val="24"/>
        </w:rPr>
        <w:t>karakterizasyonu</w:t>
      </w:r>
      <w:proofErr w:type="spellEnd"/>
      <w:r w:rsidRPr="00444B88">
        <w:rPr>
          <w:rFonts w:ascii="Times New Roman" w:eastAsia="Calibri" w:hAnsi="Times New Roman" w:cs="Times New Roman"/>
          <w:sz w:val="24"/>
          <w:szCs w:val="24"/>
        </w:rPr>
        <w:t>, biyolojik etkililiği, saflık/</w:t>
      </w:r>
      <w:proofErr w:type="spellStart"/>
      <w:r w:rsidRPr="00444B88">
        <w:rPr>
          <w:rFonts w:ascii="Times New Roman" w:eastAsia="Calibri" w:hAnsi="Times New Roman" w:cs="Times New Roman"/>
          <w:sz w:val="24"/>
          <w:szCs w:val="24"/>
        </w:rPr>
        <w:t>safsızlığı</w:t>
      </w:r>
      <w:proofErr w:type="spellEnd"/>
      <w:r w:rsidRPr="00444B88">
        <w:rPr>
          <w:rFonts w:ascii="Times New Roman" w:eastAsia="Calibri" w:hAnsi="Times New Roman" w:cs="Times New Roman"/>
          <w:sz w:val="24"/>
          <w:szCs w:val="24"/>
        </w:rPr>
        <w:t xml:space="preserve"> ve geçerli </w:t>
      </w:r>
      <w:proofErr w:type="spellStart"/>
      <w:r w:rsidRPr="00444B88">
        <w:rPr>
          <w:rFonts w:ascii="Times New Roman" w:eastAsia="Calibri" w:hAnsi="Times New Roman" w:cs="Times New Roman"/>
          <w:sz w:val="24"/>
          <w:szCs w:val="24"/>
        </w:rPr>
        <w:t>spesifikasyonları</w:t>
      </w:r>
      <w:proofErr w:type="spellEnd"/>
      <w:r w:rsidRPr="00444B88">
        <w:rPr>
          <w:rFonts w:ascii="Times New Roman" w:eastAsia="Calibri" w:hAnsi="Times New Roman" w:cs="Times New Roman"/>
          <w:sz w:val="24"/>
          <w:szCs w:val="24"/>
        </w:rPr>
        <w:t xml:space="preserve"> da içermelidir.</w:t>
      </w:r>
      <w:r w:rsidR="00381998">
        <w:rPr>
          <w:rFonts w:ascii="Times New Roman" w:eastAsia="Calibri" w:hAnsi="Times New Roman" w:cs="Times New Roman"/>
          <w:sz w:val="24"/>
          <w:szCs w:val="24"/>
        </w:rPr>
        <w:t xml:space="preserve"> </w:t>
      </w:r>
    </w:p>
    <w:p w14:paraId="274119D3" w14:textId="77777777" w:rsidR="00332F5B" w:rsidRDefault="00332F5B" w:rsidP="00327D21">
      <w:pPr>
        <w:spacing w:after="0" w:line="276" w:lineRule="auto"/>
        <w:jc w:val="both"/>
        <w:rPr>
          <w:rFonts w:ascii="Times New Roman" w:eastAsia="Calibri" w:hAnsi="Times New Roman" w:cs="Times New Roman"/>
          <w:sz w:val="24"/>
          <w:szCs w:val="24"/>
        </w:rPr>
      </w:pPr>
    </w:p>
    <w:p w14:paraId="07887CA3" w14:textId="77777777" w:rsidR="0010154C" w:rsidRDefault="00332F5B" w:rsidP="00F17A0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50D33">
        <w:rPr>
          <w:rFonts w:ascii="Times New Roman" w:eastAsia="Calibri" w:hAnsi="Times New Roman" w:cs="Times New Roman"/>
          <w:sz w:val="24"/>
          <w:szCs w:val="24"/>
        </w:rPr>
        <w:t>5</w:t>
      </w:r>
      <w:r w:rsidRPr="001F447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F447B">
        <w:rPr>
          <w:rFonts w:ascii="Times New Roman" w:eastAsia="Calibri" w:hAnsi="Times New Roman" w:cs="Times New Roman"/>
          <w:sz w:val="24"/>
          <w:szCs w:val="24"/>
        </w:rPr>
        <w:t xml:space="preserve">Yürürlükte olan ilgili yönetmeliklere göre hazırlanması istenen </w:t>
      </w:r>
      <w:r w:rsidRPr="00A37454">
        <w:rPr>
          <w:rFonts w:ascii="Times New Roman" w:eastAsia="Calibri" w:hAnsi="Times New Roman" w:cs="Times New Roman"/>
          <w:sz w:val="24"/>
          <w:szCs w:val="24"/>
        </w:rPr>
        <w:t xml:space="preserve">kalite dosyası (CTD Modül 3), </w:t>
      </w:r>
      <w:proofErr w:type="spellStart"/>
      <w:r w:rsidRPr="00A37454">
        <w:rPr>
          <w:rFonts w:ascii="Times New Roman" w:eastAsia="Calibri" w:hAnsi="Times New Roman" w:cs="Times New Roman"/>
          <w:sz w:val="24"/>
          <w:szCs w:val="24"/>
        </w:rPr>
        <w:t>karşılaştırılabilirlik</w:t>
      </w:r>
      <w:proofErr w:type="spellEnd"/>
      <w:r w:rsidRPr="00A37454">
        <w:rPr>
          <w:rFonts w:ascii="Times New Roman" w:eastAsia="Calibri" w:hAnsi="Times New Roman" w:cs="Times New Roman"/>
          <w:sz w:val="24"/>
          <w:szCs w:val="24"/>
        </w:rPr>
        <w:t xml:space="preserve"> çalışmalarını ayrı bir bölüm</w:t>
      </w:r>
      <w:r w:rsidRPr="001F447B">
        <w:rPr>
          <w:rFonts w:ascii="Times New Roman" w:eastAsia="Calibri" w:hAnsi="Times New Roman" w:cs="Times New Roman"/>
          <w:sz w:val="24"/>
          <w:szCs w:val="24"/>
        </w:rPr>
        <w:t xml:space="preserve"> olarak içermelidir. </w:t>
      </w:r>
    </w:p>
    <w:p w14:paraId="1A22298C" w14:textId="77777777" w:rsidR="00CF167F" w:rsidRDefault="00CF167F" w:rsidP="00F17A04">
      <w:pPr>
        <w:spacing w:after="0" w:line="276" w:lineRule="auto"/>
        <w:jc w:val="both"/>
        <w:rPr>
          <w:rFonts w:ascii="Times New Roman" w:eastAsia="Calibri" w:hAnsi="Times New Roman" w:cs="Times New Roman"/>
          <w:sz w:val="24"/>
          <w:szCs w:val="24"/>
        </w:rPr>
      </w:pPr>
    </w:p>
    <w:p w14:paraId="2BA09968" w14:textId="77777777" w:rsidR="00A77D77" w:rsidRPr="00CF167F" w:rsidRDefault="0010154C" w:rsidP="00CF167F">
      <w:pPr>
        <w:pStyle w:val="AklamaMetni"/>
        <w:jc w:val="both"/>
        <w:rPr>
          <w:rFonts w:ascii="Times New Roman" w:hAnsi="Times New Roman" w:cs="Times New Roman"/>
        </w:rPr>
      </w:pPr>
      <w:r>
        <w:rPr>
          <w:rFonts w:ascii="Times New Roman" w:eastAsia="Calibri" w:hAnsi="Times New Roman" w:cs="Times New Roman"/>
        </w:rPr>
        <w:t>(6</w:t>
      </w:r>
      <w:r w:rsidRPr="0010154C">
        <w:rPr>
          <w:rFonts w:ascii="Times New Roman" w:eastAsia="Calibri" w:hAnsi="Times New Roman" w:cs="Times New Roman"/>
        </w:rPr>
        <w:t xml:space="preserve">) </w:t>
      </w:r>
      <w:r w:rsidR="00332F5B" w:rsidRPr="0010154C">
        <w:rPr>
          <w:rFonts w:ascii="Times New Roman" w:eastAsia="Calibri" w:hAnsi="Times New Roman" w:cs="Times New Roman"/>
        </w:rPr>
        <w:t xml:space="preserve">Kalite düzeyinde </w:t>
      </w:r>
      <w:proofErr w:type="spellStart"/>
      <w:r w:rsidR="00332F5B" w:rsidRPr="0010154C">
        <w:rPr>
          <w:rFonts w:ascii="Times New Roman" w:eastAsia="Calibri" w:hAnsi="Times New Roman" w:cs="Times New Roman"/>
        </w:rPr>
        <w:t>karşılaştırılabilirlik</w:t>
      </w:r>
      <w:proofErr w:type="spellEnd"/>
      <w:r w:rsidR="00332F5B" w:rsidRPr="0010154C">
        <w:rPr>
          <w:rFonts w:ascii="Times New Roman" w:eastAsia="Calibri" w:hAnsi="Times New Roman" w:cs="Times New Roman"/>
        </w:rPr>
        <w:t xml:space="preserve"> çalışmaları, etkin madde ve bitmiş ürün için yeterli duyarlılıktaki analitik ve </w:t>
      </w:r>
      <w:proofErr w:type="spellStart"/>
      <w:r w:rsidR="00332F5B" w:rsidRPr="0010154C">
        <w:rPr>
          <w:rFonts w:ascii="Times New Roman" w:eastAsia="Calibri" w:hAnsi="Times New Roman" w:cs="Times New Roman"/>
        </w:rPr>
        <w:t>biyoanalitik</w:t>
      </w:r>
      <w:proofErr w:type="spellEnd"/>
      <w:r w:rsidR="00332F5B" w:rsidRPr="0010154C">
        <w:rPr>
          <w:rFonts w:ascii="Times New Roman" w:eastAsia="Calibri" w:hAnsi="Times New Roman" w:cs="Times New Roman"/>
        </w:rPr>
        <w:t xml:space="preserve"> yöntemlerle gerçekleştirilmeli ve ilgili kalite göstergelerini kapsamalıdır. </w:t>
      </w:r>
      <w:r w:rsidRPr="0010154C">
        <w:rPr>
          <w:rFonts w:ascii="Times New Roman" w:hAnsi="Times New Roman" w:cs="Times New Roman"/>
        </w:rPr>
        <w:t xml:space="preserve"> Ancak bitmiş üründe etkin maddenin analizini engelleyecek şekilde </w:t>
      </w:r>
      <w:proofErr w:type="spellStart"/>
      <w:r w:rsidRPr="0010154C">
        <w:rPr>
          <w:rFonts w:ascii="Times New Roman" w:hAnsi="Times New Roman" w:cs="Times New Roman"/>
        </w:rPr>
        <w:t>formülasyon</w:t>
      </w:r>
      <w:proofErr w:type="spellEnd"/>
      <w:r w:rsidRPr="0010154C">
        <w:rPr>
          <w:rFonts w:ascii="Times New Roman" w:hAnsi="Times New Roman" w:cs="Times New Roman"/>
        </w:rPr>
        <w:t xml:space="preserve"> yapılmışsa, karşılaştırma çalışmaları hem etkin madde hem de bitmiş ürün için ayrı ayrı </w:t>
      </w:r>
      <w:proofErr w:type="gramStart"/>
      <w:r w:rsidRPr="0010154C">
        <w:rPr>
          <w:rFonts w:ascii="Times New Roman" w:hAnsi="Times New Roman" w:cs="Times New Roman"/>
        </w:rPr>
        <w:t>yapılmalıdır .</w:t>
      </w:r>
      <w:proofErr w:type="gramEnd"/>
      <w:r w:rsidRPr="0010154C">
        <w:rPr>
          <w:rFonts w:ascii="Times New Roman" w:hAnsi="Times New Roman" w:cs="Times New Roman"/>
        </w:rPr>
        <w:t xml:space="preserve">  Eğer </w:t>
      </w:r>
      <w:proofErr w:type="spellStart"/>
      <w:r w:rsidRPr="0010154C">
        <w:rPr>
          <w:rFonts w:ascii="Times New Roman" w:hAnsi="Times New Roman" w:cs="Times New Roman"/>
        </w:rPr>
        <w:t>karakterizasyon</w:t>
      </w:r>
      <w:proofErr w:type="spellEnd"/>
      <w:r w:rsidRPr="0010154C">
        <w:rPr>
          <w:rFonts w:ascii="Times New Roman" w:hAnsi="Times New Roman" w:cs="Times New Roman"/>
        </w:rPr>
        <w:t xml:space="preserve"> için kullanılan referans etkin madde formüle edilmiş bir referans müstahzardan izole edilmiş ise, etkin maddenin </w:t>
      </w:r>
      <w:proofErr w:type="gramStart"/>
      <w:r w:rsidRPr="0010154C">
        <w:rPr>
          <w:rFonts w:ascii="Times New Roman" w:hAnsi="Times New Roman" w:cs="Times New Roman"/>
        </w:rPr>
        <w:t>izolasyon</w:t>
      </w:r>
      <w:proofErr w:type="gramEnd"/>
      <w:r w:rsidRPr="0010154C">
        <w:rPr>
          <w:rFonts w:ascii="Times New Roman" w:hAnsi="Times New Roman" w:cs="Times New Roman"/>
        </w:rPr>
        <w:t xml:space="preserve"> işlemi ile değişikliğe uğramadığı gösterilmelidir. </w:t>
      </w:r>
    </w:p>
    <w:p w14:paraId="4B29F170" w14:textId="77777777" w:rsidR="00F17A04" w:rsidRPr="00E33280" w:rsidRDefault="00BE0414" w:rsidP="00F17A04">
      <w:pPr>
        <w:spacing w:after="0" w:line="276" w:lineRule="auto"/>
        <w:jc w:val="both"/>
        <w:rPr>
          <w:rFonts w:ascii="Times New Roman" w:eastAsia="Calibri" w:hAnsi="Times New Roman" w:cs="Times New Roman"/>
          <w:sz w:val="24"/>
          <w:szCs w:val="24"/>
        </w:rPr>
      </w:pPr>
      <w:r w:rsidRPr="00E33280">
        <w:rPr>
          <w:rFonts w:ascii="Times New Roman" w:eastAsia="Calibri" w:hAnsi="Times New Roman" w:cs="Times New Roman"/>
          <w:sz w:val="24"/>
          <w:szCs w:val="24"/>
        </w:rPr>
        <w:lastRenderedPageBreak/>
        <w:t>(</w:t>
      </w:r>
      <w:r w:rsidR="0010154C">
        <w:rPr>
          <w:rFonts w:ascii="Times New Roman" w:eastAsia="Calibri" w:hAnsi="Times New Roman" w:cs="Times New Roman"/>
          <w:sz w:val="24"/>
          <w:szCs w:val="24"/>
        </w:rPr>
        <w:t>7</w:t>
      </w:r>
      <w:r w:rsidRPr="00E33280">
        <w:rPr>
          <w:rFonts w:ascii="Times New Roman" w:eastAsia="Calibri" w:hAnsi="Times New Roman" w:cs="Times New Roman"/>
          <w:sz w:val="24"/>
          <w:szCs w:val="24"/>
        </w:rPr>
        <w:t xml:space="preserve">) </w:t>
      </w:r>
      <w:proofErr w:type="spellStart"/>
      <w:r w:rsidRPr="00444B88">
        <w:rPr>
          <w:rFonts w:ascii="Times New Roman" w:eastAsia="Calibri" w:hAnsi="Times New Roman" w:cs="Times New Roman"/>
          <w:sz w:val="24"/>
          <w:szCs w:val="24"/>
        </w:rPr>
        <w:t>Biyobenzer</w:t>
      </w:r>
      <w:proofErr w:type="spellEnd"/>
      <w:r w:rsidRPr="00444B88">
        <w:rPr>
          <w:rFonts w:ascii="Times New Roman" w:eastAsia="Calibri" w:hAnsi="Times New Roman" w:cs="Times New Roman"/>
          <w:sz w:val="24"/>
          <w:szCs w:val="24"/>
        </w:rPr>
        <w:t xml:space="preserve"> tıbbi ürünler, </w:t>
      </w:r>
      <w:proofErr w:type="spellStart"/>
      <w:r w:rsidRPr="00444B88">
        <w:rPr>
          <w:rFonts w:ascii="Times New Roman" w:eastAsia="Calibri" w:hAnsi="Times New Roman" w:cs="Times New Roman"/>
          <w:sz w:val="24"/>
          <w:szCs w:val="24"/>
        </w:rPr>
        <w:t>farmakopelerde</w:t>
      </w:r>
      <w:proofErr w:type="spellEnd"/>
      <w:r w:rsidRPr="00444B88">
        <w:rPr>
          <w:rFonts w:ascii="Times New Roman" w:eastAsia="Calibri" w:hAnsi="Times New Roman" w:cs="Times New Roman"/>
          <w:sz w:val="24"/>
          <w:szCs w:val="24"/>
        </w:rPr>
        <w:t xml:space="preserve"> ve/veya diğer kaynaklarda yer alan ileri teknolojik yöntemler kullanılarak ürünün </w:t>
      </w:r>
      <w:proofErr w:type="spellStart"/>
      <w:r w:rsidRPr="00444B88">
        <w:rPr>
          <w:rFonts w:ascii="Times New Roman" w:eastAsia="Calibri" w:hAnsi="Times New Roman" w:cs="Times New Roman"/>
          <w:sz w:val="24"/>
          <w:szCs w:val="24"/>
        </w:rPr>
        <w:t>farmasötik</w:t>
      </w:r>
      <w:proofErr w:type="spellEnd"/>
      <w:r w:rsidRPr="00444B88">
        <w:rPr>
          <w:rFonts w:ascii="Times New Roman" w:eastAsia="Calibri" w:hAnsi="Times New Roman" w:cs="Times New Roman"/>
          <w:sz w:val="24"/>
          <w:szCs w:val="24"/>
        </w:rPr>
        <w:t xml:space="preserve"> gelişimine uygun şekilde üretilmeli ve kontrol edilmelidir.</w:t>
      </w:r>
    </w:p>
    <w:p w14:paraId="23203A8B" w14:textId="77777777" w:rsidR="00A77D77" w:rsidRPr="00E33280" w:rsidRDefault="00A77D77" w:rsidP="00327D21">
      <w:pPr>
        <w:spacing w:after="0" w:line="276" w:lineRule="auto"/>
        <w:jc w:val="both"/>
        <w:rPr>
          <w:rFonts w:ascii="Times New Roman" w:eastAsia="Calibri" w:hAnsi="Times New Roman" w:cs="Times New Roman"/>
          <w:sz w:val="24"/>
          <w:szCs w:val="24"/>
        </w:rPr>
      </w:pPr>
    </w:p>
    <w:p w14:paraId="2672ACB5" w14:textId="77777777" w:rsidR="00F17A04" w:rsidRPr="00B8608F" w:rsidRDefault="00332F5B" w:rsidP="00F17A04">
      <w:pPr>
        <w:spacing w:after="0" w:line="276" w:lineRule="auto"/>
        <w:jc w:val="both"/>
        <w:rPr>
          <w:rFonts w:ascii="Times New Roman" w:eastAsia="Calibri" w:hAnsi="Times New Roman" w:cs="Times New Roman"/>
          <w:sz w:val="24"/>
          <w:szCs w:val="24"/>
        </w:rPr>
      </w:pPr>
      <w:r w:rsidRPr="00E33280">
        <w:rPr>
          <w:rFonts w:ascii="Times New Roman" w:eastAsia="Calibri" w:hAnsi="Times New Roman" w:cs="Times New Roman"/>
          <w:sz w:val="24"/>
          <w:szCs w:val="24"/>
        </w:rPr>
        <w:t>(</w:t>
      </w:r>
      <w:r w:rsidR="0010154C">
        <w:rPr>
          <w:rFonts w:ascii="Times New Roman" w:eastAsia="Calibri" w:hAnsi="Times New Roman" w:cs="Times New Roman"/>
          <w:sz w:val="24"/>
          <w:szCs w:val="24"/>
        </w:rPr>
        <w:t>8</w:t>
      </w:r>
      <w:r w:rsidR="00BE0414" w:rsidRPr="00E33280">
        <w:rPr>
          <w:rFonts w:ascii="Times New Roman" w:eastAsia="Calibri" w:hAnsi="Times New Roman" w:cs="Times New Roman"/>
          <w:sz w:val="24"/>
          <w:szCs w:val="24"/>
        </w:rPr>
        <w:t xml:space="preserve">) </w:t>
      </w:r>
      <w:r w:rsidR="00BE0414" w:rsidRPr="00444B88">
        <w:rPr>
          <w:rFonts w:ascii="Times New Roman" w:eastAsia="Calibri" w:hAnsi="Times New Roman" w:cs="Times New Roman"/>
          <w:sz w:val="24"/>
          <w:szCs w:val="24"/>
        </w:rPr>
        <w:t xml:space="preserve">Üretici, </w:t>
      </w:r>
      <w:proofErr w:type="spellStart"/>
      <w:r w:rsidR="00BE0414" w:rsidRPr="00444B88">
        <w:rPr>
          <w:rFonts w:ascii="Times New Roman" w:eastAsia="Calibri" w:hAnsi="Times New Roman" w:cs="Times New Roman"/>
          <w:sz w:val="24"/>
          <w:szCs w:val="24"/>
        </w:rPr>
        <w:t>biyobenzer</w:t>
      </w:r>
      <w:proofErr w:type="spellEnd"/>
      <w:r w:rsidR="00BE0414" w:rsidRPr="00444B88">
        <w:rPr>
          <w:rFonts w:ascii="Times New Roman" w:eastAsia="Calibri" w:hAnsi="Times New Roman" w:cs="Times New Roman"/>
          <w:sz w:val="24"/>
          <w:szCs w:val="24"/>
        </w:rPr>
        <w:t xml:space="preserve"> tıbbi ürün üretirken referans tıbbi ürün ve üretim işlemleri ile ilgili ayrıntılı bilgilere ulaşamayabilir. Ancak; sunulan analitik veriler, referans tıbbi ürün ile </w:t>
      </w:r>
      <w:proofErr w:type="spellStart"/>
      <w:r w:rsidR="00BE0414" w:rsidRPr="00444B88">
        <w:rPr>
          <w:rFonts w:ascii="Times New Roman" w:eastAsia="Calibri" w:hAnsi="Times New Roman" w:cs="Times New Roman"/>
          <w:sz w:val="24"/>
          <w:szCs w:val="24"/>
        </w:rPr>
        <w:t>biyobenzer</w:t>
      </w:r>
      <w:proofErr w:type="spellEnd"/>
      <w:r w:rsidR="00BE0414" w:rsidRPr="00444B88">
        <w:rPr>
          <w:rFonts w:ascii="Times New Roman" w:eastAsia="Calibri" w:hAnsi="Times New Roman" w:cs="Times New Roman"/>
          <w:sz w:val="24"/>
          <w:szCs w:val="24"/>
        </w:rPr>
        <w:t xml:space="preserve"> tıbbi ürün arasındaki benzerlik ve farklılıkları </w:t>
      </w:r>
      <w:proofErr w:type="spellStart"/>
      <w:r w:rsidR="00BE0414" w:rsidRPr="00444B88">
        <w:rPr>
          <w:rFonts w:ascii="Times New Roman" w:eastAsia="Calibri" w:hAnsi="Times New Roman" w:cs="Times New Roman"/>
          <w:sz w:val="24"/>
          <w:szCs w:val="24"/>
        </w:rPr>
        <w:t>fizikokimyasal</w:t>
      </w:r>
      <w:proofErr w:type="spellEnd"/>
      <w:r w:rsidR="00BE0414" w:rsidRPr="00444B88">
        <w:rPr>
          <w:rFonts w:ascii="Times New Roman" w:eastAsia="Calibri" w:hAnsi="Times New Roman" w:cs="Times New Roman"/>
          <w:sz w:val="24"/>
          <w:szCs w:val="24"/>
        </w:rPr>
        <w:t xml:space="preserve"> </w:t>
      </w:r>
      <w:r w:rsidR="00BF0535">
        <w:rPr>
          <w:rFonts w:ascii="Times New Roman" w:eastAsia="Calibri" w:hAnsi="Times New Roman" w:cs="Times New Roman"/>
          <w:sz w:val="24"/>
          <w:szCs w:val="24"/>
        </w:rPr>
        <w:t xml:space="preserve">ve biyolojik açıdan gösterecek </w:t>
      </w:r>
      <w:r w:rsidR="00BE0414" w:rsidRPr="00444B88">
        <w:rPr>
          <w:rFonts w:ascii="Times New Roman" w:eastAsia="Calibri" w:hAnsi="Times New Roman" w:cs="Times New Roman"/>
          <w:sz w:val="24"/>
          <w:szCs w:val="24"/>
        </w:rPr>
        <w:t>düzeyde olmalıdır.</w:t>
      </w:r>
      <w:r w:rsidR="00353C15" w:rsidRPr="00444B88" w:rsidDel="00353C15">
        <w:rPr>
          <w:rFonts w:ascii="Times New Roman" w:eastAsia="Calibri" w:hAnsi="Times New Roman" w:cs="Times New Roman"/>
          <w:sz w:val="24"/>
          <w:szCs w:val="24"/>
        </w:rPr>
        <w:t xml:space="preserve"> </w:t>
      </w:r>
    </w:p>
    <w:p w14:paraId="185856CD" w14:textId="77777777" w:rsidR="00113835" w:rsidRDefault="00113835" w:rsidP="00A37454">
      <w:pPr>
        <w:spacing w:after="0" w:line="276" w:lineRule="auto"/>
        <w:jc w:val="both"/>
        <w:rPr>
          <w:rFonts w:ascii="Times New Roman" w:eastAsia="Calibri" w:hAnsi="Times New Roman" w:cs="Times New Roman"/>
          <w:sz w:val="24"/>
          <w:szCs w:val="24"/>
        </w:rPr>
      </w:pPr>
    </w:p>
    <w:p w14:paraId="1006AF0C" w14:textId="77777777" w:rsidR="00113835" w:rsidRDefault="00332F5B" w:rsidP="00A37454">
      <w:pPr>
        <w:spacing w:after="0" w:line="276" w:lineRule="auto"/>
        <w:jc w:val="both"/>
        <w:rPr>
          <w:rFonts w:ascii="Times New Roman" w:eastAsia="Calibri" w:hAnsi="Times New Roman" w:cs="Times New Roman"/>
          <w:sz w:val="24"/>
          <w:szCs w:val="24"/>
        </w:rPr>
      </w:pPr>
      <w:r w:rsidRPr="00B8608F">
        <w:rPr>
          <w:rFonts w:ascii="Times New Roman" w:eastAsia="Calibri" w:hAnsi="Times New Roman" w:cs="Times New Roman"/>
          <w:sz w:val="24"/>
          <w:szCs w:val="24"/>
        </w:rPr>
        <w:t>(</w:t>
      </w:r>
      <w:r w:rsidR="0010154C">
        <w:rPr>
          <w:rFonts w:ascii="Times New Roman" w:eastAsia="Calibri" w:hAnsi="Times New Roman" w:cs="Times New Roman"/>
          <w:sz w:val="24"/>
          <w:szCs w:val="24"/>
        </w:rPr>
        <w:t>9</w:t>
      </w:r>
      <w:r w:rsidRPr="00B8608F">
        <w:rPr>
          <w:rFonts w:ascii="Times New Roman" w:eastAsia="Calibri" w:hAnsi="Times New Roman" w:cs="Times New Roman"/>
          <w:sz w:val="24"/>
          <w:szCs w:val="24"/>
        </w:rPr>
        <w:t xml:space="preserve">) Klinik dışı ve klinik </w:t>
      </w:r>
      <w:proofErr w:type="spellStart"/>
      <w:r w:rsidRPr="00B8608F">
        <w:rPr>
          <w:rFonts w:ascii="Times New Roman" w:eastAsia="Calibri" w:hAnsi="Times New Roman" w:cs="Times New Roman"/>
          <w:sz w:val="24"/>
          <w:szCs w:val="24"/>
        </w:rPr>
        <w:t>biyobenzer</w:t>
      </w:r>
      <w:proofErr w:type="spellEnd"/>
      <w:r w:rsidRPr="00B8608F">
        <w:rPr>
          <w:rFonts w:ascii="Times New Roman" w:eastAsia="Calibri" w:hAnsi="Times New Roman" w:cs="Times New Roman"/>
          <w:sz w:val="24"/>
          <w:szCs w:val="24"/>
        </w:rPr>
        <w:t xml:space="preserve"> </w:t>
      </w:r>
      <w:proofErr w:type="spellStart"/>
      <w:r w:rsidRPr="00B8608F">
        <w:rPr>
          <w:rFonts w:ascii="Times New Roman" w:eastAsia="Calibri" w:hAnsi="Times New Roman" w:cs="Times New Roman"/>
          <w:sz w:val="24"/>
          <w:szCs w:val="24"/>
        </w:rPr>
        <w:t>karşılaş</w:t>
      </w:r>
      <w:r w:rsidR="00B641EB">
        <w:rPr>
          <w:rFonts w:ascii="Times New Roman" w:eastAsia="Calibri" w:hAnsi="Times New Roman" w:cs="Times New Roman"/>
          <w:sz w:val="24"/>
          <w:szCs w:val="24"/>
        </w:rPr>
        <w:t>tırılabilirlik</w:t>
      </w:r>
      <w:proofErr w:type="spellEnd"/>
      <w:r w:rsidR="00B641EB">
        <w:rPr>
          <w:rFonts w:ascii="Times New Roman" w:eastAsia="Calibri" w:hAnsi="Times New Roman" w:cs="Times New Roman"/>
          <w:sz w:val="24"/>
          <w:szCs w:val="24"/>
        </w:rPr>
        <w:t xml:space="preserve"> çalışmalarına ait </w:t>
      </w:r>
      <w:r w:rsidRPr="00B8608F">
        <w:rPr>
          <w:rFonts w:ascii="Times New Roman" w:eastAsia="Calibri" w:hAnsi="Times New Roman" w:cs="Times New Roman"/>
          <w:sz w:val="24"/>
          <w:szCs w:val="24"/>
        </w:rPr>
        <w:t>ilkeler de bu kılavuzda yer almaktadır. Ürün ve ürün sınıfına özgü güncel ulusal/uluslararası kılavuzlar bu kılavuzun tamamlayıcısı olacaktır.</w:t>
      </w:r>
      <w:r w:rsidR="00353C15" w:rsidRPr="00B8608F" w:rsidDel="00353C15">
        <w:rPr>
          <w:rFonts w:ascii="Times New Roman" w:eastAsia="Calibri" w:hAnsi="Times New Roman" w:cs="Times New Roman"/>
          <w:sz w:val="24"/>
          <w:szCs w:val="24"/>
        </w:rPr>
        <w:t xml:space="preserve"> </w:t>
      </w:r>
    </w:p>
    <w:p w14:paraId="6B761827" w14:textId="77777777" w:rsidR="00113835" w:rsidRDefault="00113835" w:rsidP="00A37454">
      <w:pPr>
        <w:spacing w:after="0" w:line="276" w:lineRule="auto"/>
        <w:jc w:val="both"/>
        <w:rPr>
          <w:rFonts w:ascii="Times New Roman" w:eastAsia="Calibri" w:hAnsi="Times New Roman" w:cs="Times New Roman"/>
          <w:sz w:val="24"/>
          <w:szCs w:val="24"/>
        </w:rPr>
      </w:pPr>
    </w:p>
    <w:p w14:paraId="2C89843C" w14:textId="77777777" w:rsidR="00412075" w:rsidRPr="00B8608F" w:rsidRDefault="00113835" w:rsidP="00412075">
      <w:pPr>
        <w:spacing w:after="0" w:line="276" w:lineRule="auto"/>
        <w:jc w:val="both"/>
        <w:rPr>
          <w:rFonts w:ascii="Times New Roman" w:eastAsia="Calibri" w:hAnsi="Times New Roman" w:cs="Times New Roman"/>
          <w:sz w:val="24"/>
          <w:szCs w:val="24"/>
        </w:rPr>
      </w:pPr>
      <w:r w:rsidRPr="00A37454">
        <w:rPr>
          <w:rFonts w:ascii="Times New Roman" w:eastAsia="Calibri" w:hAnsi="Times New Roman" w:cs="Times New Roman"/>
          <w:sz w:val="24"/>
          <w:szCs w:val="24"/>
        </w:rPr>
        <w:t>(</w:t>
      </w:r>
      <w:r w:rsidR="0010154C">
        <w:rPr>
          <w:rFonts w:ascii="Times New Roman" w:eastAsia="Calibri" w:hAnsi="Times New Roman" w:cs="Times New Roman"/>
          <w:sz w:val="24"/>
          <w:szCs w:val="24"/>
        </w:rPr>
        <w:t>10</w:t>
      </w:r>
      <w:r w:rsidRPr="00A37454">
        <w:rPr>
          <w:rFonts w:ascii="Times New Roman" w:eastAsia="Calibri" w:hAnsi="Times New Roman" w:cs="Times New Roman"/>
          <w:sz w:val="24"/>
          <w:szCs w:val="24"/>
        </w:rPr>
        <w:t>)</w:t>
      </w:r>
      <w:r w:rsidR="00C2101F">
        <w:rPr>
          <w:rFonts w:ascii="Times New Roman" w:eastAsia="Calibri" w:hAnsi="Times New Roman" w:cs="Times New Roman"/>
          <w:sz w:val="24"/>
          <w:szCs w:val="24"/>
        </w:rPr>
        <w:t xml:space="preserve"> </w:t>
      </w:r>
      <w:r w:rsidRPr="00A37454">
        <w:rPr>
          <w:rFonts w:ascii="Times New Roman" w:eastAsia="Calibri" w:hAnsi="Times New Roman" w:cs="Times New Roman"/>
          <w:sz w:val="24"/>
          <w:szCs w:val="24"/>
        </w:rPr>
        <w:t xml:space="preserve">Klinik dışı bölüm </w:t>
      </w:r>
      <w:proofErr w:type="spellStart"/>
      <w:r w:rsidRPr="00A37454">
        <w:rPr>
          <w:rFonts w:ascii="Times New Roman" w:eastAsia="Calibri" w:hAnsi="Times New Roman" w:cs="Times New Roman"/>
          <w:sz w:val="24"/>
          <w:szCs w:val="24"/>
        </w:rPr>
        <w:t>farmakotoksikolojik</w:t>
      </w:r>
      <w:proofErr w:type="spellEnd"/>
      <w:r w:rsidRPr="00A37454">
        <w:rPr>
          <w:rFonts w:ascii="Times New Roman" w:eastAsia="Calibri" w:hAnsi="Times New Roman" w:cs="Times New Roman"/>
          <w:sz w:val="24"/>
          <w:szCs w:val="24"/>
        </w:rPr>
        <w:t xml:space="preserve"> değerlendirmeyi, klinik bölüm ise </w:t>
      </w:r>
      <w:proofErr w:type="spellStart"/>
      <w:r w:rsidRPr="00A37454">
        <w:rPr>
          <w:rFonts w:ascii="Times New Roman" w:eastAsia="Calibri" w:hAnsi="Times New Roman" w:cs="Times New Roman"/>
          <w:sz w:val="24"/>
          <w:szCs w:val="24"/>
        </w:rPr>
        <w:t>farmakokinetik</w:t>
      </w:r>
      <w:proofErr w:type="spellEnd"/>
      <w:r w:rsidRPr="00A37454">
        <w:rPr>
          <w:rFonts w:ascii="Times New Roman" w:eastAsia="Calibri" w:hAnsi="Times New Roman" w:cs="Times New Roman"/>
          <w:sz w:val="24"/>
          <w:szCs w:val="24"/>
        </w:rPr>
        <w:t xml:space="preserve">, farmakodinamik ve etkililik çalışmaları için gereklilikleri kapsamaktadır. Klinik güvenlilik ve </w:t>
      </w:r>
      <w:proofErr w:type="spellStart"/>
      <w:r w:rsidRPr="00A37454">
        <w:rPr>
          <w:rFonts w:ascii="Times New Roman" w:eastAsia="Calibri" w:hAnsi="Times New Roman" w:cs="Times New Roman"/>
          <w:sz w:val="24"/>
          <w:szCs w:val="24"/>
        </w:rPr>
        <w:t>farmakovijilans</w:t>
      </w:r>
      <w:proofErr w:type="spellEnd"/>
      <w:r w:rsidRPr="00A37454">
        <w:rPr>
          <w:rFonts w:ascii="Times New Roman" w:eastAsia="Calibri" w:hAnsi="Times New Roman" w:cs="Times New Roman"/>
          <w:sz w:val="24"/>
          <w:szCs w:val="24"/>
        </w:rPr>
        <w:t xml:space="preserve"> hakkındaki bölüm, </w:t>
      </w:r>
      <w:proofErr w:type="spellStart"/>
      <w:r w:rsidRPr="00A37454">
        <w:rPr>
          <w:rFonts w:ascii="Times New Roman" w:eastAsia="Calibri" w:hAnsi="Times New Roman" w:cs="Times New Roman"/>
          <w:sz w:val="24"/>
          <w:szCs w:val="24"/>
        </w:rPr>
        <w:t>immünojenisite</w:t>
      </w:r>
      <w:proofErr w:type="spellEnd"/>
      <w:r w:rsidRPr="00A37454">
        <w:rPr>
          <w:rFonts w:ascii="Times New Roman" w:eastAsia="Calibri" w:hAnsi="Times New Roman" w:cs="Times New Roman"/>
          <w:sz w:val="24"/>
          <w:szCs w:val="24"/>
        </w:rPr>
        <w:t xml:space="preserve"> </w:t>
      </w:r>
      <w:proofErr w:type="gramStart"/>
      <w:r w:rsidRPr="00A37454">
        <w:rPr>
          <w:rFonts w:ascii="Times New Roman" w:eastAsia="Calibri" w:hAnsi="Times New Roman" w:cs="Times New Roman"/>
          <w:sz w:val="24"/>
          <w:szCs w:val="24"/>
        </w:rPr>
        <w:t>dahil</w:t>
      </w:r>
      <w:proofErr w:type="gramEnd"/>
      <w:r w:rsidRPr="00A37454">
        <w:rPr>
          <w:rFonts w:ascii="Times New Roman" w:eastAsia="Calibri" w:hAnsi="Times New Roman" w:cs="Times New Roman"/>
          <w:sz w:val="24"/>
          <w:szCs w:val="24"/>
        </w:rPr>
        <w:t xml:space="preserve"> olmak üzere klinik güvenlilik çalışmalarını içermektedir. Kılavuz, klinik dışı çalışmalar ile klinik çalışmaların sıralı bir şekilde yürütülmesini tavsiye etmektedir.</w:t>
      </w:r>
    </w:p>
    <w:p w14:paraId="32A2B336" w14:textId="77777777" w:rsidR="00113835" w:rsidRDefault="00113835" w:rsidP="00A37454">
      <w:pPr>
        <w:spacing w:after="0" w:line="276" w:lineRule="auto"/>
        <w:jc w:val="both"/>
        <w:rPr>
          <w:rFonts w:ascii="Times New Roman" w:eastAsia="Calibri" w:hAnsi="Times New Roman" w:cs="Times New Roman"/>
          <w:sz w:val="24"/>
          <w:szCs w:val="24"/>
        </w:rPr>
      </w:pPr>
    </w:p>
    <w:p w14:paraId="26C1E80C" w14:textId="77777777" w:rsidR="00113835" w:rsidRDefault="00447F4A" w:rsidP="00A37454">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0154C">
        <w:rPr>
          <w:rFonts w:ascii="Times New Roman" w:eastAsia="Calibri" w:hAnsi="Times New Roman" w:cs="Times New Roman"/>
          <w:sz w:val="24"/>
          <w:szCs w:val="24"/>
        </w:rPr>
        <w:t>11</w:t>
      </w:r>
      <w:r w:rsidR="00332F5B" w:rsidRPr="00B8608F">
        <w:rPr>
          <w:rFonts w:ascii="Times New Roman" w:eastAsia="Calibri" w:hAnsi="Times New Roman" w:cs="Times New Roman"/>
          <w:sz w:val="24"/>
          <w:szCs w:val="24"/>
        </w:rPr>
        <w:t xml:space="preserve">) Referans tıbbi ürünün yapısına ve karmaşıklığına göre, </w:t>
      </w:r>
      <w:proofErr w:type="spellStart"/>
      <w:r w:rsidR="00332F5B" w:rsidRPr="00B8608F">
        <w:rPr>
          <w:rFonts w:ascii="Times New Roman" w:eastAsia="Calibri" w:hAnsi="Times New Roman" w:cs="Times New Roman"/>
          <w:sz w:val="24"/>
          <w:szCs w:val="24"/>
        </w:rPr>
        <w:t>biyobenzerliği</w:t>
      </w:r>
      <w:proofErr w:type="spellEnd"/>
      <w:r w:rsidR="00332F5B" w:rsidRPr="00B8608F">
        <w:rPr>
          <w:rFonts w:ascii="Times New Roman" w:eastAsia="Calibri" w:hAnsi="Times New Roman" w:cs="Times New Roman"/>
          <w:sz w:val="24"/>
          <w:szCs w:val="24"/>
        </w:rPr>
        <w:t xml:space="preserve"> göstermek amacıyla yapılacak klinik ve klinik dışı çalışmaların kapsamı değişebilir. </w:t>
      </w:r>
      <w:proofErr w:type="spellStart"/>
      <w:r w:rsidR="00332F5B" w:rsidRPr="00B8608F">
        <w:rPr>
          <w:rFonts w:ascii="Times New Roman" w:eastAsia="Calibri" w:hAnsi="Times New Roman" w:cs="Times New Roman"/>
          <w:sz w:val="24"/>
          <w:szCs w:val="24"/>
        </w:rPr>
        <w:t>Biyobenzer</w:t>
      </w:r>
      <w:proofErr w:type="spellEnd"/>
      <w:r w:rsidR="00332F5B" w:rsidRPr="00B8608F">
        <w:rPr>
          <w:rFonts w:ascii="Times New Roman" w:eastAsia="Calibri" w:hAnsi="Times New Roman" w:cs="Times New Roman"/>
          <w:sz w:val="24"/>
          <w:szCs w:val="24"/>
        </w:rPr>
        <w:t xml:space="preserve"> tıbbi ürünün </w:t>
      </w:r>
      <w:proofErr w:type="spellStart"/>
      <w:r w:rsidR="00332F5B" w:rsidRPr="00B8608F">
        <w:rPr>
          <w:rFonts w:ascii="Times New Roman" w:eastAsia="Calibri" w:hAnsi="Times New Roman" w:cs="Times New Roman"/>
          <w:sz w:val="24"/>
          <w:szCs w:val="24"/>
        </w:rPr>
        <w:t>fizikokimyasal</w:t>
      </w:r>
      <w:proofErr w:type="spellEnd"/>
      <w:r w:rsidR="00332F5B" w:rsidRPr="00B8608F">
        <w:rPr>
          <w:rFonts w:ascii="Times New Roman" w:eastAsia="Calibri" w:hAnsi="Times New Roman" w:cs="Times New Roman"/>
          <w:sz w:val="24"/>
          <w:szCs w:val="24"/>
        </w:rPr>
        <w:t xml:space="preserve"> ve biyolojik analizlerinde bulunan farklılıklar, klinik dışı ve klinik çalışmaların planlanmasına rehberlik edecektir. Referans tıbbi ürünün onaylanmış tüm </w:t>
      </w:r>
      <w:proofErr w:type="spellStart"/>
      <w:r w:rsidR="00332F5B" w:rsidRPr="00B8608F">
        <w:rPr>
          <w:rFonts w:ascii="Times New Roman" w:eastAsia="Calibri" w:hAnsi="Times New Roman" w:cs="Times New Roman"/>
          <w:sz w:val="24"/>
          <w:szCs w:val="24"/>
        </w:rPr>
        <w:t>endikasyonları</w:t>
      </w:r>
      <w:proofErr w:type="spellEnd"/>
      <w:r w:rsidR="00332F5B" w:rsidRPr="00B8608F">
        <w:rPr>
          <w:rFonts w:ascii="Times New Roman" w:eastAsia="Calibri" w:hAnsi="Times New Roman" w:cs="Times New Roman"/>
          <w:sz w:val="24"/>
          <w:szCs w:val="24"/>
        </w:rPr>
        <w:t>, bunlara ilişkin etki mekanizması [ilgili reseptör(</w:t>
      </w:r>
      <w:proofErr w:type="spellStart"/>
      <w:r w:rsidR="00332F5B" w:rsidRPr="00B8608F">
        <w:rPr>
          <w:rFonts w:ascii="Times New Roman" w:eastAsia="Calibri" w:hAnsi="Times New Roman" w:cs="Times New Roman"/>
          <w:sz w:val="24"/>
          <w:szCs w:val="24"/>
        </w:rPr>
        <w:t>ler</w:t>
      </w:r>
      <w:proofErr w:type="spellEnd"/>
      <w:r w:rsidR="00332F5B" w:rsidRPr="00B8608F">
        <w:rPr>
          <w:rFonts w:ascii="Times New Roman" w:eastAsia="Calibri" w:hAnsi="Times New Roman" w:cs="Times New Roman"/>
          <w:sz w:val="24"/>
          <w:szCs w:val="24"/>
        </w:rPr>
        <w:t xml:space="preserve">) vb.] ve </w:t>
      </w:r>
      <w:proofErr w:type="spellStart"/>
      <w:r w:rsidR="00332F5B" w:rsidRPr="00B8608F">
        <w:rPr>
          <w:rFonts w:ascii="Times New Roman" w:eastAsia="Calibri" w:hAnsi="Times New Roman" w:cs="Times New Roman"/>
          <w:sz w:val="24"/>
          <w:szCs w:val="24"/>
        </w:rPr>
        <w:t>immünojenisitesi</w:t>
      </w:r>
      <w:proofErr w:type="spellEnd"/>
      <w:r w:rsidR="00332F5B" w:rsidRPr="00B8608F">
        <w:rPr>
          <w:rFonts w:ascii="Times New Roman" w:eastAsia="Calibri" w:hAnsi="Times New Roman" w:cs="Times New Roman"/>
          <w:sz w:val="24"/>
          <w:szCs w:val="24"/>
        </w:rPr>
        <w:t xml:space="preserve"> dikkat edilmesi gereken noktalardır</w:t>
      </w:r>
      <w:r w:rsidR="00353C15">
        <w:rPr>
          <w:rFonts w:ascii="Times New Roman" w:eastAsia="Calibri" w:hAnsi="Times New Roman" w:cs="Times New Roman"/>
          <w:sz w:val="24"/>
          <w:szCs w:val="24"/>
        </w:rPr>
        <w:t>.</w:t>
      </w:r>
    </w:p>
    <w:p w14:paraId="77EFEE7F" w14:textId="77777777" w:rsidR="00BE0414" w:rsidRPr="00C01A07" w:rsidRDefault="00BE0414" w:rsidP="00327D21">
      <w:pPr>
        <w:spacing w:after="0" w:line="276" w:lineRule="auto"/>
        <w:jc w:val="both"/>
        <w:rPr>
          <w:rFonts w:ascii="Times New Roman" w:eastAsia="Calibri" w:hAnsi="Times New Roman" w:cs="Times New Roman"/>
          <w:sz w:val="24"/>
          <w:szCs w:val="24"/>
        </w:rPr>
      </w:pPr>
    </w:p>
    <w:p w14:paraId="4A9D6BAE" w14:textId="77777777" w:rsidR="00DC471C" w:rsidRPr="00C01A07" w:rsidRDefault="00561031" w:rsidP="008C24B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0154C">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proofErr w:type="spellStart"/>
      <w:r w:rsidR="00DC471C" w:rsidRPr="00C01A07">
        <w:rPr>
          <w:rFonts w:ascii="Times New Roman" w:eastAsia="Calibri" w:hAnsi="Times New Roman" w:cs="Times New Roman"/>
          <w:sz w:val="24"/>
          <w:szCs w:val="24"/>
        </w:rPr>
        <w:t>Biyobenzer</w:t>
      </w:r>
      <w:proofErr w:type="spellEnd"/>
      <w:r w:rsidR="00001294">
        <w:rPr>
          <w:rFonts w:ascii="Times New Roman" w:eastAsia="Calibri" w:hAnsi="Times New Roman" w:cs="Times New Roman"/>
          <w:sz w:val="24"/>
          <w:szCs w:val="24"/>
        </w:rPr>
        <w:t xml:space="preserve"> tıbbi ürün</w:t>
      </w:r>
      <w:r w:rsidR="00DC471C" w:rsidRPr="00C01A07">
        <w:rPr>
          <w:rFonts w:ascii="Times New Roman" w:eastAsia="Calibri" w:hAnsi="Times New Roman" w:cs="Times New Roman"/>
          <w:sz w:val="24"/>
          <w:szCs w:val="24"/>
        </w:rPr>
        <w:t xml:space="preserve"> ile referans tıbbi ürün arasında herhangi bir farklılık varsa,</w:t>
      </w:r>
      <w:r w:rsidR="00D46C0B" w:rsidRPr="001F447B">
        <w:rPr>
          <w:rFonts w:ascii="Times New Roman" w:eastAsia="Calibri" w:hAnsi="Times New Roman" w:cs="Times New Roman"/>
          <w:sz w:val="24"/>
          <w:szCs w:val="24"/>
        </w:rPr>
        <w:t xml:space="preserve"> bu farklılığın nereden kaynaklandığı ve</w:t>
      </w:r>
      <w:r w:rsidR="00B57790" w:rsidRPr="001F447B">
        <w:rPr>
          <w:rFonts w:ascii="Times New Roman" w:eastAsia="Calibri" w:hAnsi="Times New Roman" w:cs="Times New Roman"/>
          <w:sz w:val="24"/>
          <w:szCs w:val="24"/>
        </w:rPr>
        <w:t xml:space="preserve"> </w:t>
      </w:r>
      <w:r w:rsidR="00D46C0B" w:rsidRPr="001F447B">
        <w:rPr>
          <w:rFonts w:ascii="Times New Roman" w:eastAsia="Calibri" w:hAnsi="Times New Roman" w:cs="Times New Roman"/>
          <w:sz w:val="24"/>
          <w:szCs w:val="24"/>
        </w:rPr>
        <w:t xml:space="preserve">ne şekilde </w:t>
      </w:r>
      <w:r w:rsidR="00DC471C" w:rsidRPr="00C01A07">
        <w:rPr>
          <w:rFonts w:ascii="Times New Roman" w:eastAsia="Calibri" w:hAnsi="Times New Roman" w:cs="Times New Roman"/>
          <w:sz w:val="24"/>
          <w:szCs w:val="24"/>
        </w:rPr>
        <w:t>yorumlanacağı konusundaki bilgileri</w:t>
      </w:r>
      <w:r w:rsidR="00D46C0B" w:rsidRPr="001F447B">
        <w:rPr>
          <w:rFonts w:ascii="Times New Roman" w:eastAsia="Calibri" w:hAnsi="Times New Roman" w:cs="Times New Roman"/>
          <w:sz w:val="24"/>
          <w:szCs w:val="24"/>
        </w:rPr>
        <w:t xml:space="preserve">n </w:t>
      </w:r>
      <w:r w:rsidR="00D87E8C" w:rsidRPr="001F447B">
        <w:rPr>
          <w:rFonts w:ascii="Times New Roman" w:eastAsia="Calibri" w:hAnsi="Times New Roman" w:cs="Times New Roman"/>
          <w:sz w:val="24"/>
          <w:szCs w:val="24"/>
        </w:rPr>
        <w:t xml:space="preserve">başvuru </w:t>
      </w:r>
      <w:r w:rsidR="00D46C0B" w:rsidRPr="001F447B">
        <w:rPr>
          <w:rFonts w:ascii="Times New Roman" w:eastAsia="Calibri" w:hAnsi="Times New Roman" w:cs="Times New Roman"/>
          <w:sz w:val="24"/>
          <w:szCs w:val="24"/>
        </w:rPr>
        <w:t xml:space="preserve">dosyasında sunulması gerekmektedir. </w:t>
      </w:r>
      <w:r>
        <w:rPr>
          <w:rFonts w:ascii="Times New Roman" w:eastAsia="Calibri" w:hAnsi="Times New Roman" w:cs="Times New Roman"/>
          <w:sz w:val="24"/>
          <w:szCs w:val="24"/>
        </w:rPr>
        <w:t xml:space="preserve"> </w:t>
      </w:r>
      <w:r w:rsidR="00DC471C" w:rsidRPr="00C01A07">
        <w:rPr>
          <w:rFonts w:ascii="Times New Roman" w:eastAsia="Calibri" w:hAnsi="Times New Roman" w:cs="Times New Roman"/>
          <w:sz w:val="24"/>
          <w:szCs w:val="24"/>
        </w:rPr>
        <w:t xml:space="preserve">Bu yaklaşımda: </w:t>
      </w:r>
    </w:p>
    <w:p w14:paraId="1438E1A2" w14:textId="77777777" w:rsidR="007761D0" w:rsidRPr="00111B2E" w:rsidRDefault="00404ACA" w:rsidP="00111B2E">
      <w:pPr>
        <w:pStyle w:val="ListeParagraf"/>
        <w:numPr>
          <w:ilvl w:val="0"/>
          <w:numId w:val="3"/>
        </w:numPr>
        <w:spacing w:after="0" w:line="276" w:lineRule="auto"/>
        <w:jc w:val="both"/>
        <w:rPr>
          <w:rFonts w:ascii="Times New Roman" w:eastAsia="Calibri" w:hAnsi="Times New Roman" w:cs="Times New Roman"/>
          <w:sz w:val="24"/>
          <w:szCs w:val="24"/>
        </w:rPr>
      </w:pPr>
      <w:r w:rsidRPr="00111B2E">
        <w:rPr>
          <w:rFonts w:ascii="Times New Roman" w:eastAsia="Calibri" w:hAnsi="Times New Roman" w:cs="Times New Roman"/>
          <w:sz w:val="24"/>
          <w:szCs w:val="24"/>
        </w:rPr>
        <w:t>Biyolojik/</w:t>
      </w:r>
      <w:proofErr w:type="spellStart"/>
      <w:r w:rsidRPr="00111B2E">
        <w:rPr>
          <w:rFonts w:ascii="Times New Roman" w:eastAsia="Calibri" w:hAnsi="Times New Roman" w:cs="Times New Roman"/>
          <w:sz w:val="24"/>
          <w:szCs w:val="24"/>
        </w:rPr>
        <w:t>biyoteknolojik</w:t>
      </w:r>
      <w:proofErr w:type="spellEnd"/>
      <w:r w:rsidRPr="00111B2E">
        <w:rPr>
          <w:rFonts w:ascii="Times New Roman" w:eastAsia="Calibri" w:hAnsi="Times New Roman" w:cs="Times New Roman"/>
          <w:sz w:val="24"/>
          <w:szCs w:val="24"/>
        </w:rPr>
        <w:t xml:space="preserve"> ürünlerin karmaşıklığı nedeniyle</w:t>
      </w:r>
      <w:r w:rsidR="007761D0" w:rsidRPr="00111B2E">
        <w:rPr>
          <w:rFonts w:ascii="Times New Roman" w:eastAsia="Calibri" w:hAnsi="Times New Roman" w:cs="Times New Roman"/>
          <w:sz w:val="24"/>
          <w:szCs w:val="24"/>
        </w:rPr>
        <w:t xml:space="preserve"> </w:t>
      </w:r>
      <w:proofErr w:type="spellStart"/>
      <w:r w:rsidR="007761D0" w:rsidRPr="00111B2E">
        <w:rPr>
          <w:rFonts w:ascii="Times New Roman" w:eastAsia="Calibri" w:hAnsi="Times New Roman" w:cs="Times New Roman"/>
          <w:sz w:val="24"/>
          <w:szCs w:val="24"/>
        </w:rPr>
        <w:t>biyobenzerliğin</w:t>
      </w:r>
      <w:proofErr w:type="spellEnd"/>
      <w:r w:rsidR="007761D0" w:rsidRPr="00111B2E">
        <w:rPr>
          <w:rFonts w:ascii="Times New Roman" w:eastAsia="Calibri" w:hAnsi="Times New Roman" w:cs="Times New Roman"/>
          <w:sz w:val="24"/>
          <w:szCs w:val="24"/>
        </w:rPr>
        <w:t xml:space="preserve"> gösterilmesi açısından</w:t>
      </w:r>
      <w:r w:rsidRPr="00111B2E">
        <w:rPr>
          <w:rFonts w:ascii="Times New Roman" w:eastAsia="Calibri" w:hAnsi="Times New Roman" w:cs="Times New Roman"/>
          <w:sz w:val="24"/>
          <w:szCs w:val="24"/>
        </w:rPr>
        <w:t>; k</w:t>
      </w:r>
      <w:r w:rsidR="00DC471C" w:rsidRPr="00111B2E">
        <w:rPr>
          <w:rFonts w:ascii="Times New Roman" w:eastAsia="Calibri" w:hAnsi="Times New Roman" w:cs="Times New Roman"/>
          <w:sz w:val="24"/>
          <w:szCs w:val="24"/>
        </w:rPr>
        <w:t xml:space="preserve">imyasal </w:t>
      </w:r>
      <w:r w:rsidR="00C21997" w:rsidRPr="00111B2E">
        <w:rPr>
          <w:rFonts w:ascii="Times New Roman" w:eastAsia="Calibri" w:hAnsi="Times New Roman" w:cs="Times New Roman"/>
          <w:sz w:val="24"/>
          <w:szCs w:val="24"/>
        </w:rPr>
        <w:t xml:space="preserve">beşeri </w:t>
      </w:r>
      <w:r w:rsidR="00DC471C" w:rsidRPr="00111B2E">
        <w:rPr>
          <w:rFonts w:ascii="Times New Roman" w:eastAsia="Calibri" w:hAnsi="Times New Roman" w:cs="Times New Roman"/>
          <w:sz w:val="24"/>
          <w:szCs w:val="24"/>
        </w:rPr>
        <w:t>tıbbi ürünler için</w:t>
      </w:r>
      <w:r w:rsidRPr="00111B2E">
        <w:rPr>
          <w:rFonts w:ascii="Times New Roman" w:eastAsia="Calibri" w:hAnsi="Times New Roman" w:cs="Times New Roman"/>
          <w:sz w:val="24"/>
          <w:szCs w:val="24"/>
        </w:rPr>
        <w:t xml:space="preserve"> </w:t>
      </w:r>
      <w:proofErr w:type="spellStart"/>
      <w:r w:rsidRPr="00111B2E">
        <w:rPr>
          <w:rFonts w:ascii="Times New Roman" w:eastAsia="Calibri" w:hAnsi="Times New Roman" w:cs="Times New Roman"/>
          <w:sz w:val="24"/>
          <w:szCs w:val="24"/>
        </w:rPr>
        <w:t>biyoyararlanım</w:t>
      </w:r>
      <w:proofErr w:type="spellEnd"/>
      <w:r w:rsidRPr="00111B2E">
        <w:rPr>
          <w:rFonts w:ascii="Times New Roman" w:eastAsia="Calibri" w:hAnsi="Times New Roman" w:cs="Times New Roman"/>
          <w:sz w:val="24"/>
          <w:szCs w:val="24"/>
        </w:rPr>
        <w:t xml:space="preserve"> ve </w:t>
      </w:r>
      <w:proofErr w:type="spellStart"/>
      <w:r w:rsidRPr="00111B2E">
        <w:rPr>
          <w:rFonts w:ascii="Times New Roman" w:eastAsia="Calibri" w:hAnsi="Times New Roman" w:cs="Times New Roman"/>
          <w:sz w:val="24"/>
          <w:szCs w:val="24"/>
        </w:rPr>
        <w:t>biyoeşdeğerlik</w:t>
      </w:r>
      <w:proofErr w:type="spellEnd"/>
      <w:r w:rsidRPr="00111B2E">
        <w:rPr>
          <w:rFonts w:ascii="Times New Roman" w:eastAsia="Calibri" w:hAnsi="Times New Roman" w:cs="Times New Roman"/>
          <w:sz w:val="24"/>
          <w:szCs w:val="24"/>
        </w:rPr>
        <w:t xml:space="preserve"> çalışmaları</w:t>
      </w:r>
      <w:r w:rsidR="007761D0" w:rsidRPr="00111B2E">
        <w:rPr>
          <w:rFonts w:ascii="Times New Roman" w:eastAsia="Calibri" w:hAnsi="Times New Roman" w:cs="Times New Roman"/>
          <w:sz w:val="24"/>
          <w:szCs w:val="24"/>
        </w:rPr>
        <w:t xml:space="preserve">nı kapsayan </w:t>
      </w:r>
      <w:r w:rsidRPr="00111B2E">
        <w:rPr>
          <w:rFonts w:ascii="Times New Roman" w:eastAsia="Calibri" w:hAnsi="Times New Roman" w:cs="Times New Roman"/>
          <w:sz w:val="24"/>
          <w:szCs w:val="24"/>
        </w:rPr>
        <w:t xml:space="preserve">standart </w:t>
      </w:r>
      <w:proofErr w:type="gramStart"/>
      <w:r w:rsidR="00640616" w:rsidRPr="00111B2E">
        <w:rPr>
          <w:rFonts w:ascii="Times New Roman" w:eastAsia="Calibri" w:hAnsi="Times New Roman" w:cs="Times New Roman"/>
          <w:sz w:val="24"/>
          <w:szCs w:val="24"/>
        </w:rPr>
        <w:t>jenerik</w:t>
      </w:r>
      <w:proofErr w:type="gramEnd"/>
      <w:r w:rsidR="00640616" w:rsidRPr="00111B2E">
        <w:rPr>
          <w:rFonts w:ascii="Times New Roman" w:eastAsia="Calibri" w:hAnsi="Times New Roman" w:cs="Times New Roman"/>
          <w:sz w:val="24"/>
          <w:szCs w:val="24"/>
        </w:rPr>
        <w:t xml:space="preserve"> yaklaşım uygun </w:t>
      </w:r>
      <w:r w:rsidR="00DC471C" w:rsidRPr="00111B2E">
        <w:rPr>
          <w:rFonts w:ascii="Times New Roman" w:eastAsia="Calibri" w:hAnsi="Times New Roman" w:cs="Times New Roman"/>
          <w:sz w:val="24"/>
          <w:szCs w:val="24"/>
        </w:rPr>
        <w:t xml:space="preserve">değildir. Bu sebeple kapsamlı </w:t>
      </w:r>
      <w:proofErr w:type="spellStart"/>
      <w:r w:rsidR="00DC471C" w:rsidRPr="00111B2E">
        <w:rPr>
          <w:rFonts w:ascii="Times New Roman" w:eastAsia="Calibri" w:hAnsi="Times New Roman" w:cs="Times New Roman"/>
          <w:sz w:val="24"/>
          <w:szCs w:val="24"/>
        </w:rPr>
        <w:t>karşılaştırılabilirlik</w:t>
      </w:r>
      <w:proofErr w:type="spellEnd"/>
      <w:r w:rsidR="00DC471C" w:rsidRPr="00111B2E">
        <w:rPr>
          <w:rFonts w:ascii="Times New Roman" w:eastAsia="Calibri" w:hAnsi="Times New Roman" w:cs="Times New Roman"/>
          <w:sz w:val="24"/>
          <w:szCs w:val="24"/>
        </w:rPr>
        <w:t xml:space="preserve"> çalışmalarına dayalı olan </w:t>
      </w:r>
      <w:proofErr w:type="spellStart"/>
      <w:r w:rsidR="00DC471C" w:rsidRPr="00111B2E">
        <w:rPr>
          <w:rFonts w:ascii="Times New Roman" w:eastAsia="Calibri" w:hAnsi="Times New Roman" w:cs="Times New Roman"/>
          <w:sz w:val="24"/>
          <w:szCs w:val="24"/>
        </w:rPr>
        <w:t>biyobenzer</w:t>
      </w:r>
      <w:proofErr w:type="spellEnd"/>
      <w:r w:rsidR="00DC471C" w:rsidRPr="00111B2E">
        <w:rPr>
          <w:rFonts w:ascii="Times New Roman" w:eastAsia="Calibri" w:hAnsi="Times New Roman" w:cs="Times New Roman"/>
          <w:sz w:val="24"/>
          <w:szCs w:val="24"/>
        </w:rPr>
        <w:t xml:space="preserve"> yaklaşımının takip edilmesi gereklidir. </w:t>
      </w:r>
    </w:p>
    <w:p w14:paraId="6534BB26" w14:textId="77777777" w:rsidR="00DC471C" w:rsidRPr="00FF4584" w:rsidRDefault="00DC471C" w:rsidP="00327D21">
      <w:pPr>
        <w:numPr>
          <w:ilvl w:val="0"/>
          <w:numId w:val="3"/>
        </w:numPr>
        <w:spacing w:after="0" w:line="276" w:lineRule="auto"/>
        <w:jc w:val="both"/>
        <w:rPr>
          <w:rFonts w:ascii="Times New Roman" w:eastAsia="Calibri" w:hAnsi="Times New Roman" w:cs="Times New Roman"/>
          <w:sz w:val="24"/>
          <w:szCs w:val="24"/>
        </w:rPr>
      </w:pP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karşılaştırılabilirlik</w:t>
      </w:r>
      <w:proofErr w:type="spellEnd"/>
      <w:r w:rsidRPr="00FF4584">
        <w:rPr>
          <w:rFonts w:ascii="Times New Roman" w:eastAsia="Calibri" w:hAnsi="Times New Roman" w:cs="Times New Roman"/>
          <w:sz w:val="24"/>
          <w:szCs w:val="24"/>
        </w:rPr>
        <w:t xml:space="preserve"> çalışmalarının ilkeleri, bir biyolojik tıbbi ürünün üretim sürecindeki değişikliklere uygulanan </w:t>
      </w:r>
      <w:proofErr w:type="spellStart"/>
      <w:r w:rsidR="00951214" w:rsidRPr="00FF4584">
        <w:rPr>
          <w:rFonts w:ascii="Times New Roman" w:eastAsia="Calibri" w:hAnsi="Times New Roman" w:cs="Times New Roman"/>
          <w:sz w:val="24"/>
          <w:szCs w:val="24"/>
        </w:rPr>
        <w:t>karşılaştırılabilirlik</w:t>
      </w:r>
      <w:proofErr w:type="spellEnd"/>
      <w:r w:rsidR="00951214" w:rsidRPr="00FF4584">
        <w:rPr>
          <w:rFonts w:ascii="Times New Roman" w:eastAsia="Calibri" w:hAnsi="Times New Roman" w:cs="Times New Roman"/>
          <w:sz w:val="24"/>
          <w:szCs w:val="24"/>
        </w:rPr>
        <w:t xml:space="preserve"> çalışmalarındaki </w:t>
      </w:r>
      <w:r w:rsidR="00564805">
        <w:rPr>
          <w:rFonts w:ascii="Times New Roman" w:eastAsia="Calibri" w:hAnsi="Times New Roman" w:cs="Times New Roman"/>
          <w:sz w:val="24"/>
          <w:szCs w:val="24"/>
        </w:rPr>
        <w:t>bilimsel ilkeler ile aynıdır</w:t>
      </w:r>
      <w:r w:rsidR="009D14C3" w:rsidRPr="00FF4584">
        <w:rPr>
          <w:rFonts w:ascii="Times New Roman" w:eastAsia="Calibri" w:hAnsi="Times New Roman" w:cs="Times New Roman"/>
          <w:sz w:val="24"/>
          <w:szCs w:val="24"/>
        </w:rPr>
        <w:t>.</w:t>
      </w:r>
    </w:p>
    <w:p w14:paraId="32FC7C98" w14:textId="77777777" w:rsidR="00DC471C" w:rsidRPr="00FF4584" w:rsidRDefault="00DC471C" w:rsidP="00327D21">
      <w:pPr>
        <w:numPr>
          <w:ilvl w:val="0"/>
          <w:numId w:val="3"/>
        </w:numPr>
        <w:spacing w:after="0" w:line="276" w:lineRule="auto"/>
        <w:jc w:val="both"/>
        <w:rPr>
          <w:rFonts w:ascii="Times New Roman" w:eastAsia="Calibri" w:hAnsi="Times New Roman" w:cs="Times New Roman"/>
          <w:sz w:val="24"/>
          <w:szCs w:val="24"/>
        </w:rPr>
      </w:pPr>
      <w:proofErr w:type="spellStart"/>
      <w:r w:rsidRPr="00FF4584">
        <w:rPr>
          <w:rFonts w:ascii="Times New Roman" w:eastAsia="Calibri" w:hAnsi="Times New Roman" w:cs="Times New Roman"/>
          <w:sz w:val="24"/>
          <w:szCs w:val="24"/>
        </w:rPr>
        <w:t>Biy</w:t>
      </w:r>
      <w:r w:rsidR="00111B2E">
        <w:rPr>
          <w:rFonts w:ascii="Times New Roman" w:eastAsia="Calibri" w:hAnsi="Times New Roman" w:cs="Times New Roman"/>
          <w:sz w:val="24"/>
          <w:szCs w:val="24"/>
        </w:rPr>
        <w:t>obenzer</w:t>
      </w:r>
      <w:proofErr w:type="spellEnd"/>
      <w:r w:rsidR="00111B2E">
        <w:rPr>
          <w:rFonts w:ascii="Times New Roman" w:eastAsia="Calibri" w:hAnsi="Times New Roman" w:cs="Times New Roman"/>
          <w:sz w:val="24"/>
          <w:szCs w:val="24"/>
        </w:rPr>
        <w:t xml:space="preserve"> yaklaşımın belirli bir b</w:t>
      </w:r>
      <w:r w:rsidRPr="00FF4584">
        <w:rPr>
          <w:rFonts w:ascii="Times New Roman" w:eastAsia="Calibri" w:hAnsi="Times New Roman" w:cs="Times New Roman"/>
          <w:sz w:val="24"/>
          <w:szCs w:val="24"/>
        </w:rPr>
        <w:t xml:space="preserve">iyolojik tıbbi ürün için uygulanabilir olup olmadığı ve </w:t>
      </w:r>
      <w:proofErr w:type="spellStart"/>
      <w:r w:rsidRPr="00FF4584">
        <w:rPr>
          <w:rFonts w:ascii="Times New Roman" w:eastAsia="Calibri" w:hAnsi="Times New Roman" w:cs="Times New Roman"/>
          <w:sz w:val="24"/>
          <w:szCs w:val="24"/>
        </w:rPr>
        <w:t>karşılaştırılabilirliği</w:t>
      </w:r>
      <w:proofErr w:type="spellEnd"/>
      <w:r w:rsidRPr="00FF4584">
        <w:rPr>
          <w:rFonts w:ascii="Times New Roman" w:eastAsia="Calibri" w:hAnsi="Times New Roman" w:cs="Times New Roman"/>
          <w:sz w:val="24"/>
          <w:szCs w:val="24"/>
        </w:rPr>
        <w:t xml:space="preserve">; değerlendirmek için kullanılan klinik modellere, ileri analitik yöntemlere ve kullanılan üretim süreçlerine bağlıdır. </w:t>
      </w:r>
    </w:p>
    <w:p w14:paraId="1B449A41" w14:textId="77777777" w:rsidR="00DC471C" w:rsidRPr="00FF4584" w:rsidRDefault="00DC471C" w:rsidP="00327D21">
      <w:pPr>
        <w:numPr>
          <w:ilvl w:val="0"/>
          <w:numId w:val="3"/>
        </w:numPr>
        <w:spacing w:after="0" w:line="276" w:lineRule="auto"/>
        <w:jc w:val="both"/>
        <w:rPr>
          <w:rFonts w:ascii="Times New Roman" w:eastAsia="Calibri" w:hAnsi="Times New Roman" w:cs="Times New Roman"/>
          <w:sz w:val="24"/>
          <w:szCs w:val="24"/>
        </w:rPr>
      </w:pP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yaklaşımı, ileri düzeyde saflaştırılan ve ayrıntılı bir biçimde karakterize edileb</w:t>
      </w:r>
      <w:r w:rsidR="000A59EB">
        <w:rPr>
          <w:rFonts w:ascii="Times New Roman" w:eastAsia="Calibri" w:hAnsi="Times New Roman" w:cs="Times New Roman"/>
          <w:sz w:val="24"/>
          <w:szCs w:val="24"/>
        </w:rPr>
        <w:t xml:space="preserve">ilen ürünlere daha başarılı </w:t>
      </w:r>
      <w:r w:rsidRPr="00FF4584">
        <w:rPr>
          <w:rFonts w:ascii="Times New Roman" w:eastAsia="Calibri" w:hAnsi="Times New Roman" w:cs="Times New Roman"/>
          <w:sz w:val="24"/>
          <w:szCs w:val="24"/>
        </w:rPr>
        <w:t>şekilde uygulanabilir. Yapısı gereği karakterize edilmesi daha güç olan biyolojik tıbbi ürünlere</w:t>
      </w:r>
      <w:r w:rsidRPr="00FF4584" w:rsidDel="00586A2C">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biyobenzerlik</w:t>
      </w:r>
      <w:proofErr w:type="spellEnd"/>
      <w:r w:rsidRPr="00FF4584">
        <w:rPr>
          <w:rFonts w:ascii="Times New Roman" w:eastAsia="Calibri" w:hAnsi="Times New Roman" w:cs="Times New Roman"/>
          <w:sz w:val="24"/>
          <w:szCs w:val="24"/>
        </w:rPr>
        <w:t xml:space="preserve"> yaklaşımın uygulanması daha zordur. Bu ürünler arasında; biyolojik kaynaklardan </w:t>
      </w:r>
      <w:r w:rsidR="00AE4838" w:rsidRPr="00FF4584">
        <w:rPr>
          <w:rFonts w:ascii="Times New Roman" w:eastAsia="Calibri" w:hAnsi="Times New Roman" w:cs="Times New Roman"/>
          <w:sz w:val="24"/>
          <w:szCs w:val="24"/>
        </w:rPr>
        <w:t>saflaştırılarak</w:t>
      </w:r>
      <w:r w:rsidRPr="00FF4584">
        <w:rPr>
          <w:rFonts w:ascii="Times New Roman" w:eastAsia="Calibri" w:hAnsi="Times New Roman" w:cs="Times New Roman"/>
          <w:sz w:val="24"/>
          <w:szCs w:val="24"/>
        </w:rPr>
        <w:t xml:space="preserve"> elde edilen </w:t>
      </w:r>
      <w:r w:rsidRPr="00FF4584">
        <w:rPr>
          <w:rFonts w:ascii="Times New Roman" w:eastAsia="Calibri" w:hAnsi="Times New Roman" w:cs="Times New Roman"/>
          <w:sz w:val="24"/>
          <w:szCs w:val="24"/>
        </w:rPr>
        <w:lastRenderedPageBreak/>
        <w:t xml:space="preserve">etkin maddelerle hazırlanan ve/veya yasal ve klinik deneyimin az olduğu biyolojik </w:t>
      </w:r>
      <w:r w:rsidR="007A4AC4" w:rsidRPr="00FF4584">
        <w:rPr>
          <w:rFonts w:ascii="Times New Roman" w:eastAsia="Calibri" w:hAnsi="Times New Roman" w:cs="Times New Roman"/>
          <w:sz w:val="24"/>
          <w:szCs w:val="24"/>
        </w:rPr>
        <w:t xml:space="preserve">tıbbi </w:t>
      </w:r>
      <w:r w:rsidRPr="00FF4584">
        <w:rPr>
          <w:rFonts w:ascii="Times New Roman" w:eastAsia="Calibri" w:hAnsi="Times New Roman" w:cs="Times New Roman"/>
          <w:sz w:val="24"/>
          <w:szCs w:val="24"/>
        </w:rPr>
        <w:t>ürünler sayılabilir</w:t>
      </w:r>
      <w:r w:rsidR="00AE4838" w:rsidRPr="00FF4584">
        <w:rPr>
          <w:rFonts w:ascii="Times New Roman" w:eastAsia="Calibri" w:hAnsi="Times New Roman" w:cs="Times New Roman"/>
          <w:sz w:val="24"/>
          <w:szCs w:val="24"/>
        </w:rPr>
        <w:t>.</w:t>
      </w:r>
      <w:r w:rsidRPr="00FF4584">
        <w:rPr>
          <w:rFonts w:ascii="Times New Roman" w:eastAsia="Calibri" w:hAnsi="Times New Roman" w:cs="Times New Roman"/>
          <w:sz w:val="24"/>
          <w:szCs w:val="24"/>
        </w:rPr>
        <w:t xml:space="preserve"> </w:t>
      </w:r>
    </w:p>
    <w:p w14:paraId="31DE6A95" w14:textId="77777777" w:rsidR="00DC471C" w:rsidRPr="00FF4584" w:rsidRDefault="00DC471C" w:rsidP="00327D21">
      <w:pPr>
        <w:numPr>
          <w:ilvl w:val="0"/>
          <w:numId w:val="3"/>
        </w:num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Bir </w:t>
      </w:r>
      <w:proofErr w:type="spellStart"/>
      <w:r w:rsidRPr="00FF4584">
        <w:rPr>
          <w:rFonts w:ascii="Times New Roman" w:eastAsia="Calibri" w:hAnsi="Times New Roman" w:cs="Times New Roman"/>
          <w:sz w:val="24"/>
          <w:szCs w:val="24"/>
        </w:rPr>
        <w:t>biyobenzer</w:t>
      </w:r>
      <w:proofErr w:type="spellEnd"/>
      <w:r w:rsidR="00001294" w:rsidRPr="00FF4584">
        <w:rPr>
          <w:rFonts w:ascii="Times New Roman" w:eastAsia="Calibri" w:hAnsi="Times New Roman" w:cs="Times New Roman"/>
          <w:sz w:val="24"/>
          <w:szCs w:val="24"/>
        </w:rPr>
        <w:t xml:space="preserve"> tıbbi ürünün </w:t>
      </w:r>
      <w:r w:rsidRPr="00FF4584">
        <w:rPr>
          <w:rFonts w:ascii="Times New Roman" w:eastAsia="Calibri" w:hAnsi="Times New Roman" w:cs="Times New Roman"/>
          <w:sz w:val="24"/>
          <w:szCs w:val="24"/>
        </w:rPr>
        <w:t xml:space="preserve">etkin maddesi, moleküler ve biyolojik bakımdan referans tıbbi ürünün etkin maddesine </w:t>
      </w:r>
      <w:r w:rsidR="00F60791" w:rsidRPr="00FF4584">
        <w:rPr>
          <w:rFonts w:ascii="Times New Roman" w:eastAsia="Calibri" w:hAnsi="Times New Roman" w:cs="Times New Roman"/>
          <w:sz w:val="24"/>
          <w:szCs w:val="24"/>
        </w:rPr>
        <w:t xml:space="preserve">yüksek düzeyde </w:t>
      </w:r>
      <w:r w:rsidRPr="00FF4584">
        <w:rPr>
          <w:rFonts w:ascii="Times New Roman" w:eastAsia="Calibri" w:hAnsi="Times New Roman" w:cs="Times New Roman"/>
          <w:sz w:val="24"/>
          <w:szCs w:val="24"/>
        </w:rPr>
        <w:t xml:space="preserve">benzer olmalıdır. </w:t>
      </w:r>
    </w:p>
    <w:p w14:paraId="3CABAE18" w14:textId="77777777" w:rsidR="00DC471C" w:rsidRPr="00FF4584" w:rsidRDefault="00DC471C" w:rsidP="00327D21">
      <w:pPr>
        <w:numPr>
          <w:ilvl w:val="0"/>
          <w:numId w:val="3"/>
        </w:num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Bir </w:t>
      </w:r>
      <w:proofErr w:type="spellStart"/>
      <w:r w:rsidRPr="00FF4584">
        <w:rPr>
          <w:rFonts w:ascii="Times New Roman" w:eastAsia="Calibri" w:hAnsi="Times New Roman" w:cs="Times New Roman"/>
          <w:sz w:val="24"/>
          <w:szCs w:val="24"/>
        </w:rPr>
        <w:t>biyobenzerin</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pozolojisi</w:t>
      </w:r>
      <w:proofErr w:type="spellEnd"/>
      <w:r w:rsidR="00F60791" w:rsidRPr="00FF4584">
        <w:rPr>
          <w:rFonts w:ascii="Times New Roman" w:eastAsia="Calibri" w:hAnsi="Times New Roman" w:cs="Times New Roman"/>
          <w:sz w:val="24"/>
          <w:szCs w:val="24"/>
        </w:rPr>
        <w:t xml:space="preserve"> </w:t>
      </w:r>
      <w:r w:rsidRPr="00FF4584">
        <w:rPr>
          <w:rFonts w:ascii="Times New Roman" w:eastAsia="Calibri" w:hAnsi="Times New Roman" w:cs="Times New Roman"/>
          <w:sz w:val="24"/>
          <w:szCs w:val="24"/>
        </w:rPr>
        <w:t xml:space="preserve">ve uygulama yolu, referans tıbbi ürünün </w:t>
      </w:r>
      <w:proofErr w:type="spellStart"/>
      <w:r w:rsidRPr="00FF4584">
        <w:rPr>
          <w:rFonts w:ascii="Times New Roman" w:eastAsia="Calibri" w:hAnsi="Times New Roman" w:cs="Times New Roman"/>
          <w:sz w:val="24"/>
          <w:szCs w:val="24"/>
        </w:rPr>
        <w:t>pozolojisi</w:t>
      </w:r>
      <w:proofErr w:type="spellEnd"/>
      <w:r w:rsidRPr="00FF4584">
        <w:rPr>
          <w:rFonts w:ascii="Times New Roman" w:eastAsia="Calibri" w:hAnsi="Times New Roman" w:cs="Times New Roman"/>
          <w:sz w:val="24"/>
          <w:szCs w:val="24"/>
        </w:rPr>
        <w:t xml:space="preserve"> ve uygulama yolu ile aynı olmalıdır. </w:t>
      </w:r>
    </w:p>
    <w:p w14:paraId="2142B200" w14:textId="77777777" w:rsidR="00DC471C" w:rsidRPr="00FF4584" w:rsidRDefault="00756A16" w:rsidP="00327D21">
      <w:pPr>
        <w:numPr>
          <w:ilvl w:val="0"/>
          <w:numId w:val="3"/>
        </w:num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Bir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w:t>
      </w:r>
      <w:r w:rsidR="00001294" w:rsidRPr="00FF4584">
        <w:rPr>
          <w:rFonts w:ascii="Times New Roman" w:eastAsia="Calibri" w:hAnsi="Times New Roman" w:cs="Times New Roman"/>
          <w:sz w:val="24"/>
          <w:szCs w:val="24"/>
        </w:rPr>
        <w:t xml:space="preserve">tıbbi </w:t>
      </w:r>
      <w:r w:rsidRPr="00FF4584">
        <w:rPr>
          <w:rFonts w:ascii="Times New Roman" w:eastAsia="Calibri" w:hAnsi="Times New Roman" w:cs="Times New Roman"/>
          <w:sz w:val="24"/>
          <w:szCs w:val="24"/>
        </w:rPr>
        <w:t>ürünün;</w:t>
      </w:r>
      <w:r w:rsidR="001552B3" w:rsidRPr="00FF4584">
        <w:rPr>
          <w:rFonts w:ascii="Times New Roman" w:eastAsia="Calibri" w:hAnsi="Times New Roman" w:cs="Times New Roman"/>
          <w:sz w:val="24"/>
          <w:szCs w:val="24"/>
        </w:rPr>
        <w:t xml:space="preserve"> </w:t>
      </w:r>
      <w:proofErr w:type="spellStart"/>
      <w:r w:rsidR="001552B3" w:rsidRPr="00FF4584">
        <w:rPr>
          <w:rFonts w:ascii="Times New Roman" w:eastAsia="Calibri" w:hAnsi="Times New Roman" w:cs="Times New Roman"/>
          <w:sz w:val="24"/>
          <w:szCs w:val="24"/>
        </w:rPr>
        <w:t>f</w:t>
      </w:r>
      <w:r w:rsidR="00DC471C" w:rsidRPr="00FF4584">
        <w:rPr>
          <w:rFonts w:ascii="Times New Roman" w:eastAsia="Calibri" w:hAnsi="Times New Roman" w:cs="Times New Roman"/>
          <w:sz w:val="24"/>
          <w:szCs w:val="24"/>
        </w:rPr>
        <w:t>armasötik</w:t>
      </w:r>
      <w:proofErr w:type="spellEnd"/>
      <w:r w:rsidR="00DC471C" w:rsidRPr="00FF4584">
        <w:rPr>
          <w:rFonts w:ascii="Times New Roman" w:eastAsia="Calibri" w:hAnsi="Times New Roman" w:cs="Times New Roman"/>
          <w:sz w:val="24"/>
          <w:szCs w:val="24"/>
        </w:rPr>
        <w:t xml:space="preserve"> form</w:t>
      </w:r>
      <w:r w:rsidR="00B80C7D" w:rsidRPr="00FF4584">
        <w:rPr>
          <w:rFonts w:ascii="Times New Roman" w:eastAsia="Calibri" w:hAnsi="Times New Roman" w:cs="Times New Roman"/>
          <w:sz w:val="24"/>
          <w:szCs w:val="24"/>
        </w:rPr>
        <w:t>u</w:t>
      </w:r>
      <w:r w:rsidR="00DC471C" w:rsidRPr="00FF4584">
        <w:rPr>
          <w:rFonts w:ascii="Times New Roman" w:eastAsia="Calibri" w:hAnsi="Times New Roman" w:cs="Times New Roman"/>
          <w:sz w:val="24"/>
          <w:szCs w:val="24"/>
        </w:rPr>
        <w:t xml:space="preserve">, </w:t>
      </w:r>
      <w:proofErr w:type="spellStart"/>
      <w:r w:rsidR="00DC471C" w:rsidRPr="00FF4584">
        <w:rPr>
          <w:rFonts w:ascii="Times New Roman" w:eastAsia="Calibri" w:hAnsi="Times New Roman" w:cs="Times New Roman"/>
          <w:sz w:val="24"/>
          <w:szCs w:val="24"/>
        </w:rPr>
        <w:t>yitili</w:t>
      </w:r>
      <w:r w:rsidR="00B80C7D" w:rsidRPr="00FF4584">
        <w:rPr>
          <w:rFonts w:ascii="Times New Roman" w:eastAsia="Calibri" w:hAnsi="Times New Roman" w:cs="Times New Roman"/>
          <w:sz w:val="24"/>
          <w:szCs w:val="24"/>
        </w:rPr>
        <w:t>ği</w:t>
      </w:r>
      <w:proofErr w:type="spellEnd"/>
      <w:r w:rsidR="00DC471C" w:rsidRPr="00FF4584">
        <w:rPr>
          <w:rFonts w:ascii="Times New Roman" w:eastAsia="Calibri" w:hAnsi="Times New Roman" w:cs="Times New Roman"/>
          <w:sz w:val="24"/>
          <w:szCs w:val="24"/>
        </w:rPr>
        <w:t xml:space="preserve">, </w:t>
      </w:r>
      <w:proofErr w:type="spellStart"/>
      <w:r w:rsidR="00DC471C" w:rsidRPr="00FF4584">
        <w:rPr>
          <w:rFonts w:ascii="Times New Roman" w:eastAsia="Calibri" w:hAnsi="Times New Roman" w:cs="Times New Roman"/>
          <w:sz w:val="24"/>
          <w:szCs w:val="24"/>
        </w:rPr>
        <w:t>formülasyon</w:t>
      </w:r>
      <w:r w:rsidR="00B80C7D" w:rsidRPr="00FF4584">
        <w:rPr>
          <w:rFonts w:ascii="Times New Roman" w:eastAsia="Calibri" w:hAnsi="Times New Roman" w:cs="Times New Roman"/>
          <w:sz w:val="24"/>
          <w:szCs w:val="24"/>
        </w:rPr>
        <w:t>u</w:t>
      </w:r>
      <w:proofErr w:type="spellEnd"/>
      <w:r w:rsidR="00DC471C" w:rsidRPr="00FF4584">
        <w:rPr>
          <w:rFonts w:ascii="Times New Roman" w:eastAsia="Calibri" w:hAnsi="Times New Roman" w:cs="Times New Roman"/>
          <w:sz w:val="24"/>
          <w:szCs w:val="24"/>
        </w:rPr>
        <w:t>, yardımcı maddeler</w:t>
      </w:r>
      <w:r w:rsidR="00B80C7D" w:rsidRPr="00FF4584">
        <w:rPr>
          <w:rFonts w:ascii="Times New Roman" w:eastAsia="Calibri" w:hAnsi="Times New Roman" w:cs="Times New Roman"/>
          <w:sz w:val="24"/>
          <w:szCs w:val="24"/>
        </w:rPr>
        <w:t>i</w:t>
      </w:r>
      <w:r w:rsidR="00DC471C" w:rsidRPr="00FF4584">
        <w:rPr>
          <w:rFonts w:ascii="Times New Roman" w:eastAsia="Calibri" w:hAnsi="Times New Roman" w:cs="Times New Roman"/>
          <w:sz w:val="24"/>
          <w:szCs w:val="24"/>
        </w:rPr>
        <w:t xml:space="preserve"> veya </w:t>
      </w:r>
      <w:proofErr w:type="spellStart"/>
      <w:r w:rsidR="00F007D8" w:rsidRPr="00FF4584">
        <w:rPr>
          <w:rFonts w:ascii="Times New Roman" w:eastAsia="Calibri" w:hAnsi="Times New Roman" w:cs="Times New Roman"/>
          <w:sz w:val="24"/>
          <w:szCs w:val="24"/>
        </w:rPr>
        <w:t>farmasötik</w:t>
      </w:r>
      <w:proofErr w:type="spellEnd"/>
      <w:r w:rsidR="00F007D8" w:rsidRPr="00FF4584">
        <w:rPr>
          <w:rFonts w:ascii="Times New Roman" w:eastAsia="Calibri" w:hAnsi="Times New Roman" w:cs="Times New Roman"/>
          <w:sz w:val="24"/>
          <w:szCs w:val="24"/>
        </w:rPr>
        <w:t xml:space="preserve"> formun sunum şekli </w:t>
      </w:r>
      <w:r w:rsidR="00DC471C" w:rsidRPr="00FF4584">
        <w:rPr>
          <w:rFonts w:ascii="Times New Roman" w:eastAsia="Calibri" w:hAnsi="Times New Roman" w:cs="Times New Roman"/>
          <w:sz w:val="24"/>
          <w:szCs w:val="24"/>
        </w:rPr>
        <w:t>referans üründen sapma</w:t>
      </w:r>
      <w:r w:rsidR="009F4E9D" w:rsidRPr="00FF4584">
        <w:rPr>
          <w:rFonts w:ascii="Times New Roman" w:eastAsia="Calibri" w:hAnsi="Times New Roman" w:cs="Times New Roman"/>
          <w:sz w:val="24"/>
          <w:szCs w:val="24"/>
        </w:rPr>
        <w:t xml:space="preserve"> gösterdiğinde</w:t>
      </w:r>
      <w:r w:rsidR="00DC471C" w:rsidRPr="00FF4584">
        <w:rPr>
          <w:rFonts w:ascii="Times New Roman" w:eastAsia="Calibri" w:hAnsi="Times New Roman" w:cs="Times New Roman"/>
          <w:sz w:val="24"/>
          <w:szCs w:val="24"/>
        </w:rPr>
        <w:t xml:space="preserve"> ek veriler </w:t>
      </w:r>
      <w:r w:rsidR="009F4E9D" w:rsidRPr="00FF4584">
        <w:rPr>
          <w:rFonts w:ascii="Times New Roman" w:eastAsia="Calibri" w:hAnsi="Times New Roman" w:cs="Times New Roman"/>
          <w:sz w:val="24"/>
          <w:szCs w:val="24"/>
        </w:rPr>
        <w:t>ile gerekçelendirilmelidir.</w:t>
      </w:r>
      <w:r w:rsidR="00DC471C" w:rsidRPr="00FF4584">
        <w:rPr>
          <w:rFonts w:ascii="Times New Roman" w:eastAsia="Calibri" w:hAnsi="Times New Roman" w:cs="Times New Roman"/>
          <w:sz w:val="24"/>
          <w:szCs w:val="24"/>
        </w:rPr>
        <w:t xml:space="preserve"> Herhangi bir farklılık, güvenlili</w:t>
      </w:r>
      <w:r w:rsidR="00CE24B2" w:rsidRPr="00FF4584">
        <w:rPr>
          <w:rFonts w:ascii="Times New Roman" w:eastAsia="Calibri" w:hAnsi="Times New Roman" w:cs="Times New Roman"/>
          <w:sz w:val="24"/>
          <w:szCs w:val="24"/>
        </w:rPr>
        <w:t>k</w:t>
      </w:r>
      <w:r w:rsidR="00DC471C" w:rsidRPr="00FF4584">
        <w:rPr>
          <w:rFonts w:ascii="Times New Roman" w:eastAsia="Calibri" w:hAnsi="Times New Roman" w:cs="Times New Roman"/>
          <w:sz w:val="24"/>
          <w:szCs w:val="24"/>
        </w:rPr>
        <w:t xml:space="preserve"> </w:t>
      </w:r>
      <w:r w:rsidR="00C16F6F" w:rsidRPr="00FF4584">
        <w:rPr>
          <w:rFonts w:ascii="Times New Roman" w:eastAsia="Calibri" w:hAnsi="Times New Roman" w:cs="Times New Roman"/>
          <w:sz w:val="24"/>
          <w:szCs w:val="24"/>
        </w:rPr>
        <w:t xml:space="preserve">riski yaratmamalıdır. </w:t>
      </w:r>
    </w:p>
    <w:p w14:paraId="16B37754" w14:textId="77777777" w:rsidR="00DC471C" w:rsidRPr="00FF4584" w:rsidRDefault="00DC471C" w:rsidP="00327D21">
      <w:pPr>
        <w:numPr>
          <w:ilvl w:val="0"/>
          <w:numId w:val="3"/>
        </w:num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Etki</w:t>
      </w:r>
      <w:r w:rsidR="007B293A" w:rsidRPr="00FF4584">
        <w:rPr>
          <w:rFonts w:ascii="Times New Roman" w:eastAsia="Calibri" w:hAnsi="Times New Roman" w:cs="Times New Roman"/>
          <w:sz w:val="24"/>
          <w:szCs w:val="24"/>
        </w:rPr>
        <w:t>li</w:t>
      </w:r>
      <w:r w:rsidRPr="00FF4584">
        <w:rPr>
          <w:rFonts w:ascii="Times New Roman" w:eastAsia="Calibri" w:hAnsi="Times New Roman" w:cs="Times New Roman"/>
          <w:sz w:val="24"/>
          <w:szCs w:val="24"/>
        </w:rPr>
        <w:t xml:space="preserve">liği iyileştirmek için yapılan değişiklikler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yaklaşım ile uyumlu değildir. Bununla birlikte, güvenlilik bakımından (örneğin, daha düşük düzeylerde </w:t>
      </w:r>
      <w:proofErr w:type="spellStart"/>
      <w:r w:rsidRPr="00FF4584">
        <w:rPr>
          <w:rFonts w:ascii="Times New Roman" w:eastAsia="Calibri" w:hAnsi="Times New Roman" w:cs="Times New Roman"/>
          <w:sz w:val="24"/>
          <w:szCs w:val="24"/>
        </w:rPr>
        <w:t>safsızlıklar</w:t>
      </w:r>
      <w:proofErr w:type="spellEnd"/>
      <w:r w:rsidRPr="00FF4584">
        <w:rPr>
          <w:rFonts w:ascii="Times New Roman" w:eastAsia="Calibri" w:hAnsi="Times New Roman" w:cs="Times New Roman"/>
          <w:sz w:val="24"/>
          <w:szCs w:val="24"/>
        </w:rPr>
        <w:t xml:space="preserve"> veya daha düşük </w:t>
      </w:r>
      <w:proofErr w:type="spellStart"/>
      <w:r w:rsidRPr="00FF4584">
        <w:rPr>
          <w:rFonts w:ascii="Times New Roman" w:eastAsia="Calibri" w:hAnsi="Times New Roman" w:cs="Times New Roman"/>
          <w:sz w:val="24"/>
          <w:szCs w:val="24"/>
        </w:rPr>
        <w:t>immünojenisite</w:t>
      </w:r>
      <w:proofErr w:type="spellEnd"/>
      <w:r w:rsidRPr="00FF4584">
        <w:rPr>
          <w:rFonts w:ascii="Times New Roman" w:eastAsia="Calibri" w:hAnsi="Times New Roman" w:cs="Times New Roman"/>
          <w:sz w:val="24"/>
          <w:szCs w:val="24"/>
        </w:rPr>
        <w:t xml:space="preserve">) bir avantaja sahip olabilecek farklılıklar </w:t>
      </w:r>
      <w:proofErr w:type="spellStart"/>
      <w:r w:rsidRPr="00FF4584">
        <w:rPr>
          <w:rFonts w:ascii="Times New Roman" w:eastAsia="Calibri" w:hAnsi="Times New Roman" w:cs="Times New Roman"/>
          <w:sz w:val="24"/>
          <w:szCs w:val="24"/>
        </w:rPr>
        <w:t>biyobenzerliğe</w:t>
      </w:r>
      <w:proofErr w:type="spellEnd"/>
      <w:r w:rsidRPr="00FF4584">
        <w:rPr>
          <w:rFonts w:ascii="Times New Roman" w:eastAsia="Calibri" w:hAnsi="Times New Roman" w:cs="Times New Roman"/>
          <w:sz w:val="24"/>
          <w:szCs w:val="24"/>
        </w:rPr>
        <w:t xml:space="preserve"> engel değildir.  </w:t>
      </w:r>
    </w:p>
    <w:p w14:paraId="7DF5965F" w14:textId="77777777" w:rsidR="00DC471C" w:rsidRPr="00FF4584" w:rsidRDefault="00DC471C" w:rsidP="00327D21">
      <w:pPr>
        <w:numPr>
          <w:ilvl w:val="0"/>
          <w:numId w:val="3"/>
        </w:num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Kalite verileri bakımından bir </w:t>
      </w:r>
      <w:proofErr w:type="spellStart"/>
      <w:r w:rsidRPr="00FF4584">
        <w:rPr>
          <w:rFonts w:ascii="Times New Roman" w:eastAsia="Calibri" w:hAnsi="Times New Roman" w:cs="Times New Roman"/>
          <w:sz w:val="24"/>
          <w:szCs w:val="24"/>
        </w:rPr>
        <w:t>biyobenzer</w:t>
      </w:r>
      <w:proofErr w:type="spellEnd"/>
      <w:r w:rsidR="00001294" w:rsidRPr="00FF4584">
        <w:rPr>
          <w:rFonts w:ascii="Times New Roman" w:eastAsia="Calibri" w:hAnsi="Times New Roman" w:cs="Times New Roman"/>
          <w:sz w:val="24"/>
          <w:szCs w:val="24"/>
        </w:rPr>
        <w:t xml:space="preserve"> tıbbi ürün</w:t>
      </w:r>
      <w:r w:rsidRPr="00FF4584">
        <w:rPr>
          <w:rFonts w:ascii="Times New Roman" w:eastAsia="Calibri" w:hAnsi="Times New Roman" w:cs="Times New Roman"/>
          <w:sz w:val="24"/>
          <w:szCs w:val="24"/>
        </w:rPr>
        <w:t xml:space="preserve">, Modül 3 için tüm güncel gereklilikleri karşılamalı, ayrıca </w:t>
      </w:r>
      <w:proofErr w:type="spellStart"/>
      <w:r w:rsidR="00677F7A" w:rsidRPr="00FF4584">
        <w:rPr>
          <w:rFonts w:ascii="Times New Roman" w:eastAsia="Calibri" w:hAnsi="Times New Roman" w:cs="Times New Roman"/>
          <w:sz w:val="24"/>
          <w:szCs w:val="24"/>
        </w:rPr>
        <w:t>farmakopede</w:t>
      </w:r>
      <w:r w:rsidR="00271D47" w:rsidRPr="00FF4584">
        <w:rPr>
          <w:rFonts w:ascii="Times New Roman" w:eastAsia="Calibri" w:hAnsi="Times New Roman" w:cs="Times New Roman"/>
          <w:sz w:val="24"/>
          <w:szCs w:val="24"/>
        </w:rPr>
        <w:t>ki</w:t>
      </w:r>
      <w:proofErr w:type="spellEnd"/>
      <w:r w:rsidRPr="00FF4584">
        <w:rPr>
          <w:rFonts w:ascii="Times New Roman" w:eastAsia="Calibri" w:hAnsi="Times New Roman" w:cs="Times New Roman"/>
          <w:sz w:val="24"/>
          <w:szCs w:val="24"/>
        </w:rPr>
        <w:t xml:space="preserve"> teknik gereklilikleri ve ilgili kılavuzlarda tanımlanan herhangi bir ek gerekliliği yerine getirmelidir. </w:t>
      </w:r>
    </w:p>
    <w:p w14:paraId="5196B7F1" w14:textId="77777777" w:rsidR="00E33280" w:rsidRDefault="00DC471C" w:rsidP="00BA4A76">
      <w:pPr>
        <w:numPr>
          <w:ilvl w:val="0"/>
          <w:numId w:val="3"/>
        </w:num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Bir </w:t>
      </w:r>
      <w:proofErr w:type="spellStart"/>
      <w:r w:rsidRPr="00FF4584">
        <w:rPr>
          <w:rFonts w:ascii="Times New Roman" w:eastAsia="Calibri" w:hAnsi="Times New Roman" w:cs="Times New Roman"/>
          <w:sz w:val="24"/>
          <w:szCs w:val="24"/>
        </w:rPr>
        <w:t>biyobenzer</w:t>
      </w:r>
      <w:proofErr w:type="spellEnd"/>
      <w:r w:rsidR="00001294" w:rsidRPr="00FF4584">
        <w:rPr>
          <w:rFonts w:ascii="Times New Roman" w:eastAsia="Calibri" w:hAnsi="Times New Roman" w:cs="Times New Roman"/>
          <w:sz w:val="24"/>
          <w:szCs w:val="24"/>
        </w:rPr>
        <w:t xml:space="preserve"> tıbbi ürünün </w:t>
      </w:r>
      <w:r w:rsidRPr="00FF4584">
        <w:rPr>
          <w:rFonts w:ascii="Times New Roman" w:eastAsia="Calibri" w:hAnsi="Times New Roman" w:cs="Times New Roman"/>
          <w:sz w:val="24"/>
          <w:szCs w:val="24"/>
        </w:rPr>
        <w:t xml:space="preserve">güvenlilik ve etkililiğinin </w:t>
      </w:r>
      <w:r w:rsidR="005D615D" w:rsidRPr="00FF4584">
        <w:rPr>
          <w:rFonts w:ascii="Times New Roman" w:eastAsia="Calibri" w:hAnsi="Times New Roman" w:cs="Times New Roman"/>
          <w:sz w:val="24"/>
          <w:szCs w:val="24"/>
        </w:rPr>
        <w:t xml:space="preserve">referans tıbbi </w:t>
      </w:r>
      <w:r w:rsidRPr="00FF4584">
        <w:rPr>
          <w:rFonts w:ascii="Times New Roman" w:eastAsia="Calibri" w:hAnsi="Times New Roman" w:cs="Times New Roman"/>
          <w:sz w:val="24"/>
          <w:szCs w:val="24"/>
        </w:rPr>
        <w:t xml:space="preserve">ürün ile </w:t>
      </w:r>
      <w:proofErr w:type="spellStart"/>
      <w:r w:rsidRPr="00FF4584">
        <w:rPr>
          <w:rFonts w:ascii="Times New Roman" w:eastAsia="Calibri" w:hAnsi="Times New Roman" w:cs="Times New Roman"/>
          <w:sz w:val="24"/>
          <w:szCs w:val="24"/>
        </w:rPr>
        <w:t>karşılaştırılabilirliği</w:t>
      </w:r>
      <w:proofErr w:type="spellEnd"/>
      <w:r w:rsidRPr="00FF4584">
        <w:rPr>
          <w:rFonts w:ascii="Times New Roman" w:eastAsia="Calibri" w:hAnsi="Times New Roman" w:cs="Times New Roman"/>
          <w:sz w:val="24"/>
          <w:szCs w:val="24"/>
        </w:rPr>
        <w:t xml:space="preserve"> gösterilmelidir ve farklılıklar gerekçelendirilmelidir. </w:t>
      </w:r>
      <w:proofErr w:type="spellStart"/>
      <w:r w:rsidRPr="00FF4584">
        <w:rPr>
          <w:rFonts w:ascii="Times New Roman" w:eastAsia="Calibri" w:hAnsi="Times New Roman" w:cs="Times New Roman"/>
          <w:sz w:val="24"/>
          <w:szCs w:val="24"/>
        </w:rPr>
        <w:t>Biyobenzer</w:t>
      </w:r>
      <w:proofErr w:type="spellEnd"/>
      <w:r w:rsidR="00001294" w:rsidRPr="00FF4584">
        <w:rPr>
          <w:rFonts w:ascii="Times New Roman" w:eastAsia="Calibri" w:hAnsi="Times New Roman" w:cs="Times New Roman"/>
          <w:sz w:val="24"/>
          <w:szCs w:val="24"/>
        </w:rPr>
        <w:t xml:space="preserve"> tıbbi ürünler</w:t>
      </w:r>
      <w:r w:rsidRPr="00FF4584">
        <w:rPr>
          <w:rFonts w:ascii="Times New Roman" w:eastAsia="Calibri" w:hAnsi="Times New Roman" w:cs="Times New Roman"/>
          <w:sz w:val="24"/>
          <w:szCs w:val="24"/>
        </w:rPr>
        <w:t xml:space="preserve"> için genel teknik ve ürün sınıfına özgü maddeler, kılavuzlar</w:t>
      </w:r>
      <w:r w:rsidR="005D615D" w:rsidRPr="00FF4584">
        <w:rPr>
          <w:rFonts w:ascii="Times New Roman" w:eastAsia="Calibri" w:hAnsi="Times New Roman" w:cs="Times New Roman"/>
          <w:sz w:val="24"/>
          <w:szCs w:val="24"/>
        </w:rPr>
        <w:t>da</w:t>
      </w:r>
      <w:r w:rsidRPr="00FF4584">
        <w:rPr>
          <w:rFonts w:ascii="Times New Roman" w:eastAsia="Calibri" w:hAnsi="Times New Roman" w:cs="Times New Roman"/>
          <w:sz w:val="24"/>
          <w:szCs w:val="24"/>
        </w:rPr>
        <w:t xml:space="preserve"> ele alınmaktadır. Ürün sınıfına özgü kılavuzların mevcut olmadığı durumlar için, başvuru sahipleri</w:t>
      </w:r>
      <w:r w:rsidR="00B5141A" w:rsidRPr="00FF4584">
        <w:rPr>
          <w:rFonts w:ascii="Times New Roman" w:eastAsia="Calibri" w:hAnsi="Times New Roman" w:cs="Times New Roman"/>
          <w:sz w:val="24"/>
          <w:szCs w:val="24"/>
        </w:rPr>
        <w:t xml:space="preserve"> </w:t>
      </w:r>
      <w:r w:rsidR="0068003B" w:rsidRPr="00FF4584">
        <w:rPr>
          <w:rFonts w:ascii="Times New Roman" w:eastAsia="Calibri" w:hAnsi="Times New Roman" w:cs="Times New Roman"/>
          <w:sz w:val="24"/>
          <w:szCs w:val="24"/>
        </w:rPr>
        <w:t xml:space="preserve">Kurumdan </w:t>
      </w:r>
      <w:r w:rsidRPr="00FF4584">
        <w:rPr>
          <w:rFonts w:ascii="Times New Roman" w:eastAsia="Calibri" w:hAnsi="Times New Roman" w:cs="Times New Roman"/>
          <w:sz w:val="24"/>
          <w:szCs w:val="24"/>
        </w:rPr>
        <w:t xml:space="preserve">bilimsel </w:t>
      </w:r>
      <w:r w:rsidR="00E47C63" w:rsidRPr="00FF4584">
        <w:rPr>
          <w:rFonts w:ascii="Times New Roman" w:eastAsia="Calibri" w:hAnsi="Times New Roman" w:cs="Times New Roman"/>
          <w:sz w:val="24"/>
          <w:szCs w:val="24"/>
        </w:rPr>
        <w:t xml:space="preserve">öneri </w:t>
      </w:r>
      <w:r w:rsidR="00B47979" w:rsidRPr="00FF4584">
        <w:rPr>
          <w:rFonts w:ascii="Times New Roman" w:eastAsia="Calibri" w:hAnsi="Times New Roman" w:cs="Times New Roman"/>
          <w:sz w:val="24"/>
          <w:szCs w:val="24"/>
        </w:rPr>
        <w:t>talebinde bulunabilir.</w:t>
      </w:r>
      <w:r w:rsidR="009344A4" w:rsidRPr="00FF4584">
        <w:rPr>
          <w:rFonts w:ascii="Times New Roman" w:eastAsia="Calibri" w:hAnsi="Times New Roman" w:cs="Times New Roman"/>
          <w:sz w:val="24"/>
          <w:szCs w:val="24"/>
        </w:rPr>
        <w:t xml:space="preserve">  </w:t>
      </w:r>
    </w:p>
    <w:p w14:paraId="1E1B7517" w14:textId="77777777" w:rsidR="00113835" w:rsidRDefault="00113835" w:rsidP="00FF4584">
      <w:pPr>
        <w:spacing w:after="0" w:line="276" w:lineRule="auto"/>
        <w:ind w:left="785"/>
        <w:jc w:val="both"/>
        <w:rPr>
          <w:rFonts w:ascii="Times New Roman" w:eastAsia="Calibri" w:hAnsi="Times New Roman" w:cs="Times New Roman"/>
          <w:sz w:val="24"/>
          <w:szCs w:val="24"/>
        </w:rPr>
      </w:pPr>
    </w:p>
    <w:p w14:paraId="1E67B359" w14:textId="77777777" w:rsidR="003210A0" w:rsidRPr="00C01A07" w:rsidRDefault="003210A0" w:rsidP="003210A0">
      <w:pPr>
        <w:spacing w:line="276" w:lineRule="auto"/>
        <w:jc w:val="both"/>
        <w:rPr>
          <w:rFonts w:ascii="Times New Roman" w:eastAsia="Calibri" w:hAnsi="Times New Roman" w:cs="Times New Roman"/>
          <w:b/>
          <w:sz w:val="24"/>
          <w:szCs w:val="24"/>
        </w:rPr>
      </w:pPr>
      <w:r w:rsidRPr="00C01A07">
        <w:rPr>
          <w:rFonts w:ascii="Times New Roman" w:eastAsia="Calibri" w:hAnsi="Times New Roman" w:cs="Times New Roman"/>
          <w:b/>
          <w:sz w:val="24"/>
          <w:szCs w:val="24"/>
        </w:rPr>
        <w:t>Referans Tıbbi Ürünün Seçimi</w:t>
      </w:r>
    </w:p>
    <w:p w14:paraId="0B581575" w14:textId="77777777" w:rsidR="003210A0" w:rsidRPr="00E33280" w:rsidRDefault="003210A0" w:rsidP="00FF4584">
      <w:pPr>
        <w:spacing w:after="0" w:line="276" w:lineRule="auto"/>
        <w:ind w:left="785"/>
        <w:jc w:val="both"/>
        <w:rPr>
          <w:rFonts w:ascii="Times New Roman" w:eastAsia="Calibri" w:hAnsi="Times New Roman" w:cs="Times New Roman"/>
          <w:sz w:val="24"/>
          <w:szCs w:val="24"/>
        </w:rPr>
      </w:pPr>
    </w:p>
    <w:p w14:paraId="4D3BDEDA" w14:textId="77777777" w:rsidR="00063E40" w:rsidRDefault="00DC471C" w:rsidP="00327D21">
      <w:pPr>
        <w:spacing w:after="0" w:line="276" w:lineRule="auto"/>
        <w:jc w:val="both"/>
        <w:rPr>
          <w:rFonts w:ascii="Times New Roman" w:eastAsia="Calibri" w:hAnsi="Times New Roman" w:cs="Times New Roman"/>
          <w:sz w:val="24"/>
          <w:szCs w:val="24"/>
        </w:rPr>
      </w:pPr>
      <w:r w:rsidRPr="00C01A07">
        <w:rPr>
          <w:rFonts w:ascii="Times New Roman" w:hAnsi="Times New Roman" w:cs="Times New Roman"/>
          <w:b/>
          <w:sz w:val="24"/>
          <w:szCs w:val="24"/>
        </w:rPr>
        <w:t>MADDE 6 –</w:t>
      </w:r>
      <w:r w:rsidR="00447F4A">
        <w:rPr>
          <w:rFonts w:ascii="Times New Roman" w:hAnsi="Times New Roman" w:cs="Times New Roman"/>
          <w:b/>
          <w:sz w:val="24"/>
          <w:szCs w:val="24"/>
        </w:rPr>
        <w:t xml:space="preserve">  </w:t>
      </w:r>
      <w:r w:rsidR="00447F4A" w:rsidRPr="008C24BD">
        <w:rPr>
          <w:rFonts w:ascii="Times New Roman" w:hAnsi="Times New Roman" w:cs="Times New Roman"/>
          <w:sz w:val="24"/>
          <w:szCs w:val="24"/>
        </w:rPr>
        <w:t>(1)</w:t>
      </w:r>
      <w:r w:rsidR="00447F4A" w:rsidRPr="001F447B">
        <w:rPr>
          <w:rFonts w:ascii="Times New Roman" w:hAnsi="Times New Roman" w:cs="Times New Roman"/>
          <w:b/>
          <w:sz w:val="24"/>
          <w:szCs w:val="24"/>
        </w:rPr>
        <w:t xml:space="preserve"> </w:t>
      </w:r>
      <w:proofErr w:type="spellStart"/>
      <w:r w:rsidR="00447F4A" w:rsidRPr="00FF4584">
        <w:rPr>
          <w:rFonts w:ascii="Times New Roman" w:eastAsia="Calibri" w:hAnsi="Times New Roman" w:cs="Times New Roman"/>
          <w:sz w:val="24"/>
          <w:szCs w:val="24"/>
        </w:rPr>
        <w:t>Biyobenzer</w:t>
      </w:r>
      <w:r w:rsidR="00063E40">
        <w:rPr>
          <w:rFonts w:ascii="Times New Roman" w:eastAsia="Calibri" w:hAnsi="Times New Roman" w:cs="Times New Roman"/>
          <w:sz w:val="24"/>
          <w:szCs w:val="24"/>
        </w:rPr>
        <w:t>lik</w:t>
      </w:r>
      <w:proofErr w:type="spellEnd"/>
      <w:r w:rsidR="00063E40">
        <w:rPr>
          <w:rFonts w:ascii="Times New Roman" w:eastAsia="Calibri" w:hAnsi="Times New Roman" w:cs="Times New Roman"/>
          <w:sz w:val="24"/>
          <w:szCs w:val="24"/>
        </w:rPr>
        <w:t xml:space="preserve"> çalışmasında kullanılacak referans tıbbi ürün </w:t>
      </w:r>
      <w:r w:rsidR="00447F4A" w:rsidRPr="00FF4584">
        <w:rPr>
          <w:rFonts w:ascii="Times New Roman" w:eastAsia="Calibri" w:hAnsi="Times New Roman" w:cs="Times New Roman"/>
          <w:sz w:val="24"/>
          <w:szCs w:val="24"/>
        </w:rPr>
        <w:t>yetkili otoriteler tarafından tam dosya ile ruhsatlandı</w:t>
      </w:r>
      <w:r w:rsidR="00063E40">
        <w:rPr>
          <w:rFonts w:ascii="Times New Roman" w:eastAsia="Calibri" w:hAnsi="Times New Roman" w:cs="Times New Roman"/>
          <w:sz w:val="24"/>
          <w:szCs w:val="24"/>
        </w:rPr>
        <w:t xml:space="preserve">rılmış ve satış onayı almış </w:t>
      </w:r>
      <w:r w:rsidR="00447F4A" w:rsidRPr="00FF4584">
        <w:rPr>
          <w:rFonts w:ascii="Times New Roman" w:eastAsia="Calibri" w:hAnsi="Times New Roman" w:cs="Times New Roman"/>
          <w:sz w:val="24"/>
          <w:szCs w:val="24"/>
        </w:rPr>
        <w:t xml:space="preserve">biyolojik </w:t>
      </w:r>
      <w:r w:rsidR="00063E40">
        <w:rPr>
          <w:rFonts w:ascii="Times New Roman" w:eastAsia="Calibri" w:hAnsi="Times New Roman" w:cs="Times New Roman"/>
          <w:sz w:val="24"/>
          <w:szCs w:val="24"/>
        </w:rPr>
        <w:t>bir tıbbi üründür.</w:t>
      </w:r>
    </w:p>
    <w:p w14:paraId="0CE137A0" w14:textId="77777777" w:rsidR="00447F4A" w:rsidRDefault="00063E40" w:rsidP="00327D2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71FB437" w14:textId="77777777" w:rsidR="0020460E" w:rsidRDefault="005B311D" w:rsidP="00CF167F">
      <w:pPr>
        <w:spacing w:after="0" w:line="276" w:lineRule="auto"/>
        <w:jc w:val="both"/>
        <w:rPr>
          <w:rFonts w:ascii="Times New Roman" w:eastAsia="Calibri" w:hAnsi="Times New Roman" w:cs="Times New Roman"/>
          <w:sz w:val="24"/>
          <w:szCs w:val="24"/>
        </w:rPr>
      </w:pPr>
      <w:r w:rsidRPr="00C01A07">
        <w:rPr>
          <w:rFonts w:ascii="Times New Roman" w:eastAsia="Calibri" w:hAnsi="Times New Roman" w:cs="Times New Roman"/>
          <w:sz w:val="24"/>
          <w:szCs w:val="24"/>
        </w:rPr>
        <w:t>(</w:t>
      </w:r>
      <w:r w:rsidR="00447F4A">
        <w:rPr>
          <w:rFonts w:ascii="Times New Roman" w:eastAsia="Calibri" w:hAnsi="Times New Roman" w:cs="Times New Roman"/>
          <w:sz w:val="24"/>
          <w:szCs w:val="24"/>
        </w:rPr>
        <w:t>2</w:t>
      </w:r>
      <w:r w:rsidRPr="00C01A07">
        <w:rPr>
          <w:rFonts w:ascii="Times New Roman" w:eastAsia="Calibri" w:hAnsi="Times New Roman" w:cs="Times New Roman"/>
          <w:sz w:val="24"/>
          <w:szCs w:val="24"/>
        </w:rPr>
        <w:t>)</w:t>
      </w:r>
      <w:r w:rsidR="006A6B03" w:rsidRPr="00C01A07">
        <w:rPr>
          <w:rFonts w:ascii="Times New Roman" w:eastAsia="Calibri" w:hAnsi="Times New Roman" w:cs="Times New Roman"/>
          <w:sz w:val="24"/>
          <w:szCs w:val="24"/>
        </w:rPr>
        <w:t xml:space="preserve"> Bir </w:t>
      </w:r>
      <w:proofErr w:type="spellStart"/>
      <w:r w:rsidR="006A6B03" w:rsidRPr="00C01A07">
        <w:rPr>
          <w:rFonts w:ascii="Times New Roman" w:eastAsia="Calibri" w:hAnsi="Times New Roman" w:cs="Times New Roman"/>
          <w:sz w:val="24"/>
          <w:szCs w:val="24"/>
        </w:rPr>
        <w:t>biyobenzer</w:t>
      </w:r>
      <w:proofErr w:type="spellEnd"/>
      <w:r w:rsidR="00001294">
        <w:rPr>
          <w:rFonts w:ascii="Times New Roman" w:eastAsia="Calibri" w:hAnsi="Times New Roman" w:cs="Times New Roman"/>
          <w:sz w:val="24"/>
          <w:szCs w:val="24"/>
        </w:rPr>
        <w:t xml:space="preserve"> tıbbi ürünün</w:t>
      </w:r>
      <w:r w:rsidR="006A6B03" w:rsidRPr="00C01A07">
        <w:rPr>
          <w:rFonts w:ascii="Times New Roman" w:eastAsia="Calibri" w:hAnsi="Times New Roman" w:cs="Times New Roman"/>
          <w:sz w:val="24"/>
          <w:szCs w:val="24"/>
        </w:rPr>
        <w:t xml:space="preserve"> geliştirilmesi sırasında tutarlı veriler elde edilmesine olanak sağlamak üzere; tüm kalite, güvenlilik ve etkililik çalışmalarının her biri için, </w:t>
      </w:r>
      <w:proofErr w:type="spellStart"/>
      <w:r w:rsidR="00810012" w:rsidRPr="00C01A07">
        <w:rPr>
          <w:rFonts w:ascii="Times New Roman" w:eastAsia="Calibri" w:hAnsi="Times New Roman" w:cs="Times New Roman"/>
          <w:sz w:val="24"/>
          <w:szCs w:val="24"/>
        </w:rPr>
        <w:t>biyobenzer</w:t>
      </w:r>
      <w:proofErr w:type="spellEnd"/>
      <w:r w:rsidR="00810012" w:rsidRPr="00C01A07">
        <w:rPr>
          <w:rFonts w:ascii="Times New Roman" w:eastAsia="Calibri" w:hAnsi="Times New Roman" w:cs="Times New Roman"/>
          <w:sz w:val="24"/>
          <w:szCs w:val="24"/>
        </w:rPr>
        <w:t xml:space="preserve"> </w:t>
      </w:r>
      <w:r w:rsidR="00810012">
        <w:rPr>
          <w:rFonts w:ascii="Times New Roman" w:eastAsia="Calibri" w:hAnsi="Times New Roman" w:cs="Times New Roman"/>
          <w:sz w:val="24"/>
          <w:szCs w:val="24"/>
        </w:rPr>
        <w:t xml:space="preserve">tıbbi </w:t>
      </w:r>
      <w:r w:rsidR="00810012" w:rsidRPr="00C01A07">
        <w:rPr>
          <w:rFonts w:ascii="Times New Roman" w:eastAsia="Calibri" w:hAnsi="Times New Roman" w:cs="Times New Roman"/>
          <w:sz w:val="24"/>
          <w:szCs w:val="24"/>
        </w:rPr>
        <w:t>ürün</w:t>
      </w:r>
      <w:r w:rsidR="00810012">
        <w:rPr>
          <w:rFonts w:ascii="Times New Roman" w:eastAsia="Calibri" w:hAnsi="Times New Roman" w:cs="Times New Roman"/>
          <w:sz w:val="24"/>
          <w:szCs w:val="24"/>
        </w:rPr>
        <w:t>,</w:t>
      </w:r>
      <w:r w:rsidR="00810012" w:rsidRPr="00C01A07">
        <w:rPr>
          <w:rFonts w:ascii="Times New Roman" w:eastAsia="Calibri" w:hAnsi="Times New Roman" w:cs="Times New Roman"/>
          <w:sz w:val="24"/>
          <w:szCs w:val="24"/>
        </w:rPr>
        <w:t xml:space="preserve"> </w:t>
      </w:r>
      <w:r w:rsidR="006A6B03" w:rsidRPr="00C01A07">
        <w:rPr>
          <w:rFonts w:ascii="Times New Roman" w:eastAsia="Calibri" w:hAnsi="Times New Roman" w:cs="Times New Roman"/>
          <w:sz w:val="24"/>
          <w:szCs w:val="24"/>
        </w:rPr>
        <w:t>referans tıbbi ürün ile karşılaştırılmalıdır.</w:t>
      </w:r>
    </w:p>
    <w:p w14:paraId="56517992" w14:textId="77777777" w:rsidR="00CF167F" w:rsidRPr="00CF167F" w:rsidRDefault="00CF167F" w:rsidP="00CF167F">
      <w:pPr>
        <w:spacing w:after="0" w:line="276" w:lineRule="auto"/>
        <w:jc w:val="both"/>
        <w:rPr>
          <w:rFonts w:ascii="Times New Roman" w:eastAsia="Calibri" w:hAnsi="Times New Roman" w:cs="Times New Roman"/>
          <w:sz w:val="24"/>
          <w:szCs w:val="24"/>
        </w:rPr>
      </w:pPr>
    </w:p>
    <w:p w14:paraId="0E0E3B1F" w14:textId="2F5FC9C1" w:rsidR="007950EE" w:rsidRPr="00290964" w:rsidRDefault="0020460E" w:rsidP="00290964">
      <w:pPr>
        <w:jc w:val="both"/>
        <w:rPr>
          <w:rFonts w:ascii="Times New Roman" w:hAnsi="Times New Roman" w:cs="Times New Roman"/>
          <w:sz w:val="24"/>
          <w:szCs w:val="24"/>
        </w:rPr>
      </w:pPr>
      <w:r w:rsidRPr="00D40676">
        <w:rPr>
          <w:rFonts w:ascii="Times New Roman" w:hAnsi="Times New Roman" w:cs="Times New Roman"/>
          <w:sz w:val="24"/>
          <w:szCs w:val="24"/>
        </w:rPr>
        <w:t xml:space="preserve">(3) Dosyanın kalite, klinik dışı ve klinik bölümleri için aynı referans tıbbi ürün kullanılmalıdır. </w:t>
      </w:r>
    </w:p>
    <w:p w14:paraId="52FEDFF0" w14:textId="77777777" w:rsidR="00B24BCF" w:rsidRDefault="00B24BCF" w:rsidP="00327D21">
      <w:pPr>
        <w:spacing w:line="276" w:lineRule="auto"/>
        <w:jc w:val="both"/>
        <w:rPr>
          <w:rFonts w:ascii="Times New Roman" w:eastAsia="Calibri" w:hAnsi="Times New Roman" w:cs="Times New Roman"/>
          <w:b/>
          <w:sz w:val="24"/>
          <w:szCs w:val="24"/>
        </w:rPr>
      </w:pPr>
    </w:p>
    <w:p w14:paraId="16E1E590" w14:textId="77777777" w:rsidR="00DC471C" w:rsidRDefault="00DC471C" w:rsidP="00327D21">
      <w:pPr>
        <w:spacing w:line="276" w:lineRule="auto"/>
        <w:jc w:val="both"/>
        <w:rPr>
          <w:rFonts w:ascii="Times New Roman" w:eastAsia="Calibri" w:hAnsi="Times New Roman" w:cs="Times New Roman"/>
          <w:b/>
          <w:sz w:val="24"/>
          <w:szCs w:val="24"/>
        </w:rPr>
      </w:pPr>
      <w:proofErr w:type="spellStart"/>
      <w:r w:rsidRPr="00C01A07">
        <w:rPr>
          <w:rFonts w:ascii="Times New Roman" w:eastAsia="Calibri" w:hAnsi="Times New Roman" w:cs="Times New Roman"/>
          <w:b/>
          <w:sz w:val="24"/>
          <w:szCs w:val="24"/>
        </w:rPr>
        <w:t>Biyobenzerliği</w:t>
      </w:r>
      <w:proofErr w:type="spellEnd"/>
      <w:r w:rsidRPr="00C01A07">
        <w:rPr>
          <w:rFonts w:ascii="Times New Roman" w:eastAsia="Calibri" w:hAnsi="Times New Roman" w:cs="Times New Roman"/>
          <w:b/>
          <w:sz w:val="24"/>
          <w:szCs w:val="24"/>
        </w:rPr>
        <w:t xml:space="preserve"> </w:t>
      </w:r>
      <w:proofErr w:type="gramStart"/>
      <w:r w:rsidRPr="00C01A07">
        <w:rPr>
          <w:rFonts w:ascii="Times New Roman" w:eastAsia="Calibri" w:hAnsi="Times New Roman" w:cs="Times New Roman"/>
          <w:b/>
          <w:sz w:val="24"/>
          <w:szCs w:val="24"/>
        </w:rPr>
        <w:t>Kanıtlama  İlkeleri</w:t>
      </w:r>
      <w:proofErr w:type="gramEnd"/>
    </w:p>
    <w:p w14:paraId="2742FBC9" w14:textId="77777777" w:rsidR="00DC471C" w:rsidRPr="00FF4584" w:rsidRDefault="00DC471C" w:rsidP="00327D21">
      <w:pPr>
        <w:spacing w:after="0" w:line="276" w:lineRule="auto"/>
        <w:jc w:val="both"/>
        <w:rPr>
          <w:rFonts w:ascii="Times New Roman" w:eastAsia="Calibri" w:hAnsi="Times New Roman" w:cs="Times New Roman"/>
          <w:sz w:val="24"/>
          <w:szCs w:val="24"/>
        </w:rPr>
      </w:pPr>
      <w:r w:rsidRPr="00E42FEB">
        <w:rPr>
          <w:rFonts w:ascii="Times New Roman" w:hAnsi="Times New Roman" w:cs="Times New Roman"/>
          <w:b/>
          <w:sz w:val="24"/>
          <w:szCs w:val="24"/>
        </w:rPr>
        <w:t>MADDE 7 –</w:t>
      </w:r>
      <w:r w:rsidRPr="00E42FEB">
        <w:rPr>
          <w:rFonts w:ascii="Times New Roman" w:eastAsia="Calibri" w:hAnsi="Times New Roman" w:cs="Times New Roman"/>
          <w:sz w:val="24"/>
          <w:szCs w:val="24"/>
        </w:rPr>
        <w:t xml:space="preserve"> </w:t>
      </w:r>
      <w:r w:rsidR="005B311D" w:rsidRPr="00E42FEB">
        <w:rPr>
          <w:rFonts w:ascii="Times New Roman" w:eastAsia="Calibri" w:hAnsi="Times New Roman" w:cs="Times New Roman"/>
          <w:sz w:val="24"/>
          <w:szCs w:val="24"/>
        </w:rPr>
        <w:t>(1)</w:t>
      </w:r>
      <w:r w:rsidR="00561031" w:rsidRPr="00E42FEB">
        <w:rPr>
          <w:rFonts w:ascii="Times New Roman" w:eastAsia="Calibri" w:hAnsi="Times New Roman" w:cs="Times New Roman"/>
          <w:sz w:val="24"/>
          <w:szCs w:val="24"/>
        </w:rPr>
        <w:t xml:space="preserve"> </w:t>
      </w:r>
      <w:r w:rsidRPr="00FF4584">
        <w:rPr>
          <w:rFonts w:ascii="Times New Roman" w:eastAsia="Calibri" w:hAnsi="Times New Roman" w:cs="Times New Roman"/>
          <w:sz w:val="24"/>
          <w:szCs w:val="24"/>
        </w:rPr>
        <w:t xml:space="preserve">Bir </w:t>
      </w:r>
      <w:proofErr w:type="spellStart"/>
      <w:r w:rsidRPr="00FF4584">
        <w:rPr>
          <w:rFonts w:ascii="Times New Roman" w:eastAsia="Calibri" w:hAnsi="Times New Roman" w:cs="Times New Roman"/>
          <w:sz w:val="24"/>
          <w:szCs w:val="24"/>
        </w:rPr>
        <w:t>biyobenzer</w:t>
      </w:r>
      <w:proofErr w:type="spellEnd"/>
      <w:r w:rsidR="00001294" w:rsidRPr="00FF4584">
        <w:rPr>
          <w:rFonts w:ascii="Times New Roman" w:eastAsia="Calibri" w:hAnsi="Times New Roman" w:cs="Times New Roman"/>
          <w:sz w:val="24"/>
          <w:szCs w:val="24"/>
        </w:rPr>
        <w:t xml:space="preserve"> tıbbi ürün</w:t>
      </w:r>
      <w:r w:rsidRPr="00FF4584">
        <w:rPr>
          <w:rFonts w:ascii="Times New Roman" w:eastAsia="Calibri" w:hAnsi="Times New Roman" w:cs="Times New Roman"/>
          <w:sz w:val="24"/>
          <w:szCs w:val="24"/>
        </w:rPr>
        <w:t xml:space="preserve"> geliştirme programının temel ilkesi, referans tıbbi ürünün daha önceden kanıtlanmış güvenlilik ve etkililiğinin,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için de geçerli olduğunu göstermek amacıyla </w:t>
      </w:r>
      <w:r w:rsidR="00024402" w:rsidRPr="00FF4584">
        <w:rPr>
          <w:rFonts w:ascii="Times New Roman" w:eastAsia="Calibri" w:hAnsi="Times New Roman" w:cs="Times New Roman"/>
          <w:sz w:val="24"/>
          <w:szCs w:val="24"/>
        </w:rPr>
        <w:t>duyarlı ve birbirini tamamlayan</w:t>
      </w:r>
      <w:r w:rsidRPr="00FF4584">
        <w:rPr>
          <w:rFonts w:ascii="Times New Roman" w:eastAsia="Calibri" w:hAnsi="Times New Roman" w:cs="Times New Roman"/>
          <w:sz w:val="24"/>
          <w:szCs w:val="24"/>
        </w:rPr>
        <w:t xml:space="preserve"> yöntemlerle </w:t>
      </w:r>
      <w:proofErr w:type="spellStart"/>
      <w:r w:rsidRPr="00FF4584">
        <w:rPr>
          <w:rFonts w:ascii="Times New Roman" w:eastAsia="Calibri" w:hAnsi="Times New Roman" w:cs="Times New Roman"/>
          <w:sz w:val="24"/>
          <w:szCs w:val="24"/>
        </w:rPr>
        <w:t>biyobenzer</w:t>
      </w:r>
      <w:proofErr w:type="spellEnd"/>
      <w:r w:rsidR="00001294" w:rsidRPr="00FF4584">
        <w:rPr>
          <w:rFonts w:ascii="Times New Roman" w:eastAsia="Calibri" w:hAnsi="Times New Roman" w:cs="Times New Roman"/>
          <w:sz w:val="24"/>
          <w:szCs w:val="24"/>
        </w:rPr>
        <w:t xml:space="preserve"> tıbbi ürün</w:t>
      </w:r>
      <w:r w:rsidRPr="00FF4584">
        <w:rPr>
          <w:rFonts w:ascii="Times New Roman" w:eastAsia="Calibri" w:hAnsi="Times New Roman" w:cs="Times New Roman"/>
          <w:sz w:val="24"/>
          <w:szCs w:val="24"/>
        </w:rPr>
        <w:t xml:space="preserve"> ve referans </w:t>
      </w:r>
      <w:r w:rsidR="00001294" w:rsidRPr="00FF4584">
        <w:rPr>
          <w:rFonts w:ascii="Times New Roman" w:eastAsia="Calibri" w:hAnsi="Times New Roman" w:cs="Times New Roman"/>
          <w:sz w:val="24"/>
          <w:szCs w:val="24"/>
        </w:rPr>
        <w:t xml:space="preserve">tıbbi </w:t>
      </w:r>
      <w:r w:rsidRPr="00FF4584">
        <w:rPr>
          <w:rFonts w:ascii="Times New Roman" w:eastAsia="Calibri" w:hAnsi="Times New Roman" w:cs="Times New Roman"/>
          <w:sz w:val="24"/>
          <w:szCs w:val="24"/>
        </w:rPr>
        <w:t>ürün arasındaki benzerliği tespit etmektir.</w:t>
      </w:r>
    </w:p>
    <w:p w14:paraId="4FC22742" w14:textId="77777777" w:rsidR="00DC471C" w:rsidRPr="00FF4584" w:rsidRDefault="00DC471C" w:rsidP="00327D21">
      <w:pPr>
        <w:spacing w:after="0" w:line="276" w:lineRule="auto"/>
        <w:rPr>
          <w:rFonts w:ascii="Times New Roman" w:eastAsia="Calibri" w:hAnsi="Times New Roman" w:cs="Times New Roman"/>
          <w:sz w:val="24"/>
          <w:szCs w:val="24"/>
        </w:rPr>
      </w:pPr>
    </w:p>
    <w:p w14:paraId="6668F5A0" w14:textId="77777777" w:rsidR="00DC471C" w:rsidRPr="00FF4584" w:rsidRDefault="005B311D" w:rsidP="00327D21">
      <w:pPr>
        <w:spacing w:after="0" w:line="276" w:lineRule="auto"/>
        <w:jc w:val="both"/>
        <w:rPr>
          <w:rFonts w:ascii="Times New Roman" w:eastAsia="Calibri" w:hAnsi="Times New Roman" w:cs="Times New Roman"/>
          <w:b/>
          <w:sz w:val="24"/>
          <w:szCs w:val="24"/>
          <w:u w:val="single"/>
        </w:rPr>
      </w:pPr>
      <w:r w:rsidRPr="00FF4584">
        <w:rPr>
          <w:rFonts w:ascii="Times New Roman" w:eastAsia="Calibri" w:hAnsi="Times New Roman" w:cs="Times New Roman"/>
          <w:sz w:val="24"/>
          <w:szCs w:val="24"/>
        </w:rPr>
        <w:lastRenderedPageBreak/>
        <w:t>(2)</w:t>
      </w:r>
      <w:r w:rsidR="00561031"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Bir </w:t>
      </w:r>
      <w:proofErr w:type="spellStart"/>
      <w:r w:rsidR="00DC471C" w:rsidRPr="00FF4584">
        <w:rPr>
          <w:rFonts w:ascii="Times New Roman" w:eastAsia="Calibri" w:hAnsi="Times New Roman" w:cs="Times New Roman"/>
          <w:sz w:val="24"/>
          <w:szCs w:val="24"/>
        </w:rPr>
        <w:t>biyobenzer</w:t>
      </w:r>
      <w:proofErr w:type="spellEnd"/>
      <w:r w:rsidR="00001294" w:rsidRPr="00FF4584">
        <w:rPr>
          <w:rFonts w:ascii="Times New Roman" w:eastAsia="Calibri" w:hAnsi="Times New Roman" w:cs="Times New Roman"/>
          <w:sz w:val="24"/>
          <w:szCs w:val="24"/>
        </w:rPr>
        <w:t xml:space="preserve"> tıbbi ürün</w:t>
      </w:r>
      <w:r w:rsidR="00DC471C" w:rsidRPr="00FF4584">
        <w:rPr>
          <w:rFonts w:ascii="Times New Roman" w:eastAsia="Calibri" w:hAnsi="Times New Roman" w:cs="Times New Roman"/>
          <w:sz w:val="24"/>
          <w:szCs w:val="24"/>
        </w:rPr>
        <w:t xml:space="preserve">, </w:t>
      </w:r>
      <w:proofErr w:type="spellStart"/>
      <w:r w:rsidR="00DC471C" w:rsidRPr="00FF4584">
        <w:rPr>
          <w:rFonts w:ascii="Times New Roman" w:eastAsia="Calibri" w:hAnsi="Times New Roman" w:cs="Times New Roman"/>
          <w:sz w:val="24"/>
          <w:szCs w:val="24"/>
        </w:rPr>
        <w:t>fizikokimyasal</w:t>
      </w:r>
      <w:proofErr w:type="spellEnd"/>
      <w:r w:rsidR="00DC471C" w:rsidRPr="00FF4584">
        <w:rPr>
          <w:rFonts w:ascii="Times New Roman" w:eastAsia="Calibri" w:hAnsi="Times New Roman" w:cs="Times New Roman"/>
          <w:sz w:val="24"/>
          <w:szCs w:val="24"/>
        </w:rPr>
        <w:t xml:space="preserve"> ve biyolojik bakımdan referans tıbbi ürüne yüksek düzeyde benzer olmalıdır. Bulunan herhangi bir farklılığın, güvenlilik ve etkililik üzerindeki potansiyel etkileri açısından gerekçelendirilmesi gerekmektedir. </w:t>
      </w:r>
    </w:p>
    <w:p w14:paraId="63A3F57B" w14:textId="77777777" w:rsidR="00DC471C" w:rsidRPr="00FF4584" w:rsidRDefault="00DC471C" w:rsidP="00327D21">
      <w:pPr>
        <w:spacing w:after="0" w:line="276" w:lineRule="auto"/>
        <w:rPr>
          <w:rFonts w:ascii="Times New Roman" w:eastAsia="Calibri" w:hAnsi="Times New Roman" w:cs="Times New Roman"/>
          <w:sz w:val="24"/>
          <w:szCs w:val="24"/>
        </w:rPr>
      </w:pPr>
    </w:p>
    <w:p w14:paraId="240D6147" w14:textId="77777777" w:rsidR="00DC471C" w:rsidRPr="00FF4584" w:rsidRDefault="005B311D" w:rsidP="00327D21">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(3)</w:t>
      </w:r>
      <w:r w:rsidR="00561031"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Kapsamlı bir </w:t>
      </w:r>
      <w:proofErr w:type="spellStart"/>
      <w:r w:rsidR="00DC471C" w:rsidRPr="00FF4584">
        <w:rPr>
          <w:rFonts w:ascii="Times New Roman" w:eastAsia="Calibri" w:hAnsi="Times New Roman" w:cs="Times New Roman"/>
          <w:sz w:val="24"/>
          <w:szCs w:val="24"/>
        </w:rPr>
        <w:t>fizikokimyasal</w:t>
      </w:r>
      <w:proofErr w:type="spellEnd"/>
      <w:r w:rsidR="00DC471C" w:rsidRPr="00FF4584">
        <w:rPr>
          <w:rFonts w:ascii="Times New Roman" w:eastAsia="Calibri" w:hAnsi="Times New Roman" w:cs="Times New Roman"/>
          <w:sz w:val="24"/>
          <w:szCs w:val="24"/>
        </w:rPr>
        <w:t xml:space="preserve"> ve </w:t>
      </w:r>
      <w:proofErr w:type="gramStart"/>
      <w:r w:rsidR="00DC471C" w:rsidRPr="00FF4584">
        <w:rPr>
          <w:rFonts w:ascii="Times New Roman" w:eastAsia="Calibri" w:hAnsi="Times New Roman" w:cs="Times New Roman"/>
          <w:sz w:val="24"/>
          <w:szCs w:val="24"/>
        </w:rPr>
        <w:t>biyolojik</w:t>
      </w:r>
      <w:r w:rsidR="00273B49">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 </w:t>
      </w:r>
      <w:proofErr w:type="spellStart"/>
      <w:r w:rsidR="00DC471C" w:rsidRPr="00FF4584">
        <w:rPr>
          <w:rFonts w:ascii="Times New Roman" w:eastAsia="Calibri" w:hAnsi="Times New Roman" w:cs="Times New Roman"/>
          <w:sz w:val="24"/>
          <w:szCs w:val="24"/>
        </w:rPr>
        <w:t>karakterizasyon</w:t>
      </w:r>
      <w:proofErr w:type="spellEnd"/>
      <w:proofErr w:type="gramEnd"/>
      <w:r w:rsidR="00DC471C" w:rsidRPr="00FF4584">
        <w:rPr>
          <w:rFonts w:ascii="Times New Roman" w:eastAsia="Calibri" w:hAnsi="Times New Roman" w:cs="Times New Roman"/>
          <w:sz w:val="24"/>
          <w:szCs w:val="24"/>
        </w:rPr>
        <w:t xml:space="preserve"> çalışması ile başlayan geliştirme programı boyunca aşamalı bir yaklaşım tavsiye edilir.</w:t>
      </w:r>
      <w:r w:rsidR="00DC471C" w:rsidRPr="00E42FEB">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Yapılacak klinik ve klinik </w:t>
      </w:r>
      <w:r w:rsidR="006A6B03" w:rsidRPr="00FF4584">
        <w:rPr>
          <w:rFonts w:ascii="Times New Roman" w:eastAsia="Calibri" w:hAnsi="Times New Roman" w:cs="Times New Roman"/>
          <w:sz w:val="24"/>
          <w:szCs w:val="24"/>
        </w:rPr>
        <w:t xml:space="preserve">dışı </w:t>
      </w:r>
      <w:r w:rsidR="00DC471C" w:rsidRPr="00FF4584">
        <w:rPr>
          <w:rFonts w:ascii="Times New Roman" w:eastAsia="Calibri" w:hAnsi="Times New Roman" w:cs="Times New Roman"/>
          <w:i/>
          <w:sz w:val="24"/>
          <w:szCs w:val="24"/>
        </w:rPr>
        <w:t xml:space="preserve">in </w:t>
      </w:r>
      <w:proofErr w:type="spellStart"/>
      <w:r w:rsidR="00DC471C" w:rsidRPr="00FF4584">
        <w:rPr>
          <w:rFonts w:ascii="Times New Roman" w:eastAsia="Calibri" w:hAnsi="Times New Roman" w:cs="Times New Roman"/>
          <w:i/>
          <w:sz w:val="24"/>
          <w:szCs w:val="24"/>
        </w:rPr>
        <w:t>vivo</w:t>
      </w:r>
      <w:proofErr w:type="spellEnd"/>
      <w:r w:rsidR="00DC471C" w:rsidRPr="00FF4584">
        <w:rPr>
          <w:rFonts w:ascii="Times New Roman" w:eastAsia="Calibri" w:hAnsi="Times New Roman" w:cs="Times New Roman"/>
          <w:sz w:val="24"/>
          <w:szCs w:val="24"/>
        </w:rPr>
        <w:t xml:space="preserve"> çalışmaların kapsamı ve niteliği, </w:t>
      </w:r>
      <w:proofErr w:type="spellStart"/>
      <w:r w:rsidR="00DC471C" w:rsidRPr="00FF4584">
        <w:rPr>
          <w:rFonts w:ascii="Times New Roman" w:eastAsia="Calibri" w:hAnsi="Times New Roman" w:cs="Times New Roman"/>
          <w:sz w:val="24"/>
          <w:szCs w:val="24"/>
        </w:rPr>
        <w:t>fizikokimyasal</w:t>
      </w:r>
      <w:proofErr w:type="spellEnd"/>
      <w:r w:rsidR="00DC471C" w:rsidRPr="00FF4584">
        <w:rPr>
          <w:rFonts w:ascii="Times New Roman" w:eastAsia="Calibri" w:hAnsi="Times New Roman" w:cs="Times New Roman"/>
          <w:sz w:val="24"/>
          <w:szCs w:val="24"/>
        </w:rPr>
        <w:t xml:space="preserve">, biyolojik/klinik </w:t>
      </w:r>
      <w:r w:rsidR="006A6B03" w:rsidRPr="00FF4584">
        <w:rPr>
          <w:rFonts w:ascii="Times New Roman" w:eastAsia="Calibri" w:hAnsi="Times New Roman" w:cs="Times New Roman"/>
          <w:sz w:val="24"/>
          <w:szCs w:val="24"/>
        </w:rPr>
        <w:t xml:space="preserve">dışı </w:t>
      </w:r>
      <w:r w:rsidR="00DC471C" w:rsidRPr="00FF4584">
        <w:rPr>
          <w:rFonts w:ascii="Times New Roman" w:eastAsia="Calibri" w:hAnsi="Times New Roman" w:cs="Times New Roman"/>
          <w:i/>
          <w:sz w:val="24"/>
          <w:szCs w:val="24"/>
        </w:rPr>
        <w:t xml:space="preserve">in </w:t>
      </w:r>
      <w:proofErr w:type="spellStart"/>
      <w:r w:rsidR="00DC471C" w:rsidRPr="00FF4584">
        <w:rPr>
          <w:rFonts w:ascii="Times New Roman" w:eastAsia="Calibri" w:hAnsi="Times New Roman" w:cs="Times New Roman"/>
          <w:i/>
          <w:sz w:val="24"/>
          <w:szCs w:val="24"/>
        </w:rPr>
        <w:t>vitro</w:t>
      </w:r>
      <w:proofErr w:type="spellEnd"/>
      <w:r w:rsidR="00DC471C" w:rsidRPr="00FF4584">
        <w:rPr>
          <w:rFonts w:ascii="Times New Roman" w:eastAsia="Calibri" w:hAnsi="Times New Roman" w:cs="Times New Roman"/>
          <w:sz w:val="24"/>
          <w:szCs w:val="24"/>
        </w:rPr>
        <w:t xml:space="preserve"> verilerin sağlamlığına ve önceki adımda/adımlarda elde edilen kanıtlara bağlıdır.</w:t>
      </w:r>
    </w:p>
    <w:p w14:paraId="3059A25B" w14:textId="77777777" w:rsidR="00DC471C" w:rsidRPr="00FF4584" w:rsidRDefault="00DC471C" w:rsidP="00327D21">
      <w:pPr>
        <w:spacing w:after="0" w:line="276" w:lineRule="auto"/>
        <w:rPr>
          <w:rFonts w:ascii="Times New Roman" w:eastAsia="Calibri" w:hAnsi="Times New Roman" w:cs="Times New Roman"/>
          <w:sz w:val="24"/>
          <w:szCs w:val="24"/>
        </w:rPr>
      </w:pPr>
    </w:p>
    <w:p w14:paraId="79B6546C" w14:textId="77777777" w:rsidR="00DC471C" w:rsidRPr="00FF4584" w:rsidRDefault="005B311D" w:rsidP="00327D21">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(4)</w:t>
      </w:r>
      <w:r w:rsidR="00561031"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Genel olarak klinik çalışmaların amacı, daha önceki adımlarda görülen küçük farklılıkları dikkate alarak </w:t>
      </w:r>
      <w:proofErr w:type="spellStart"/>
      <w:r w:rsidR="00DC471C" w:rsidRPr="00FF4584">
        <w:rPr>
          <w:rFonts w:ascii="Times New Roman" w:eastAsia="Calibri" w:hAnsi="Times New Roman" w:cs="Times New Roman"/>
          <w:sz w:val="24"/>
          <w:szCs w:val="24"/>
        </w:rPr>
        <w:t>biyobenzer</w:t>
      </w:r>
      <w:proofErr w:type="spellEnd"/>
      <w:r w:rsidR="00DC471C" w:rsidRPr="00FF4584">
        <w:rPr>
          <w:rFonts w:ascii="Times New Roman" w:eastAsia="Calibri" w:hAnsi="Times New Roman" w:cs="Times New Roman"/>
          <w:sz w:val="24"/>
          <w:szCs w:val="24"/>
        </w:rPr>
        <w:t xml:space="preserve"> </w:t>
      </w:r>
      <w:r w:rsidR="00001294" w:rsidRPr="00FF4584">
        <w:rPr>
          <w:rFonts w:ascii="Times New Roman" w:eastAsia="Calibri" w:hAnsi="Times New Roman" w:cs="Times New Roman"/>
          <w:sz w:val="24"/>
          <w:szCs w:val="24"/>
        </w:rPr>
        <w:t xml:space="preserve">tıbbi ürün </w:t>
      </w:r>
      <w:r w:rsidR="00DC471C" w:rsidRPr="00FF4584">
        <w:rPr>
          <w:rFonts w:ascii="Times New Roman" w:eastAsia="Calibri" w:hAnsi="Times New Roman" w:cs="Times New Roman"/>
          <w:sz w:val="24"/>
          <w:szCs w:val="24"/>
        </w:rPr>
        <w:t xml:space="preserve">ve referans </w:t>
      </w:r>
      <w:r w:rsidR="00900CAE" w:rsidRPr="00FF4584">
        <w:rPr>
          <w:rFonts w:ascii="Times New Roman" w:eastAsia="Calibri" w:hAnsi="Times New Roman" w:cs="Times New Roman"/>
          <w:sz w:val="24"/>
          <w:szCs w:val="24"/>
        </w:rPr>
        <w:t xml:space="preserve">tıbbi </w:t>
      </w:r>
      <w:r w:rsidR="00DC471C" w:rsidRPr="00FF4584">
        <w:rPr>
          <w:rFonts w:ascii="Times New Roman" w:eastAsia="Calibri" w:hAnsi="Times New Roman" w:cs="Times New Roman"/>
          <w:sz w:val="24"/>
          <w:szCs w:val="24"/>
        </w:rPr>
        <w:t xml:space="preserve">ürünün karşılaştırılabilir klinik performansını kanıtlamaktır. Kalite özelliklerindeki önemli farklılıkları gerekçelendirmek için klinik veriler kullanılamaz. </w:t>
      </w:r>
    </w:p>
    <w:p w14:paraId="62D1AB7E" w14:textId="77777777" w:rsidR="00DC471C" w:rsidRPr="00FF4584" w:rsidRDefault="00DC471C" w:rsidP="00327D21">
      <w:pPr>
        <w:spacing w:after="0" w:line="276" w:lineRule="auto"/>
        <w:rPr>
          <w:rFonts w:ascii="Times New Roman" w:eastAsia="Calibri" w:hAnsi="Times New Roman" w:cs="Times New Roman"/>
          <w:sz w:val="24"/>
          <w:szCs w:val="24"/>
        </w:rPr>
      </w:pPr>
    </w:p>
    <w:p w14:paraId="20ACEF25" w14:textId="77777777" w:rsidR="00DC471C" w:rsidRPr="00FF4584" w:rsidRDefault="005B311D" w:rsidP="00327D21">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w:t>
      </w:r>
      <w:r w:rsidR="0075771D" w:rsidRPr="00FF4584">
        <w:rPr>
          <w:rFonts w:ascii="Times New Roman" w:eastAsia="Calibri" w:hAnsi="Times New Roman" w:cs="Times New Roman"/>
          <w:sz w:val="24"/>
          <w:szCs w:val="24"/>
        </w:rPr>
        <w:t>5</w:t>
      </w:r>
      <w:r w:rsidRPr="00FF4584">
        <w:rPr>
          <w:rFonts w:ascii="Times New Roman" w:eastAsia="Calibri" w:hAnsi="Times New Roman" w:cs="Times New Roman"/>
          <w:sz w:val="24"/>
          <w:szCs w:val="24"/>
        </w:rPr>
        <w:t>)</w:t>
      </w:r>
      <w:r w:rsidR="00561031" w:rsidRPr="00FF4584">
        <w:rPr>
          <w:rFonts w:ascii="Times New Roman" w:eastAsia="Calibri" w:hAnsi="Times New Roman" w:cs="Times New Roman"/>
          <w:sz w:val="24"/>
          <w:szCs w:val="24"/>
        </w:rPr>
        <w:t xml:space="preserve"> </w:t>
      </w:r>
      <w:proofErr w:type="spellStart"/>
      <w:r w:rsidR="00DC471C" w:rsidRPr="00FF4584">
        <w:rPr>
          <w:rFonts w:ascii="Times New Roman" w:eastAsia="Calibri" w:hAnsi="Times New Roman" w:cs="Times New Roman"/>
          <w:sz w:val="24"/>
          <w:szCs w:val="24"/>
        </w:rPr>
        <w:t>Biyobenzer</w:t>
      </w:r>
      <w:proofErr w:type="spellEnd"/>
      <w:r w:rsidR="00DC471C" w:rsidRPr="00FF4584">
        <w:rPr>
          <w:rFonts w:ascii="Times New Roman" w:eastAsia="Calibri" w:hAnsi="Times New Roman" w:cs="Times New Roman"/>
          <w:sz w:val="24"/>
          <w:szCs w:val="24"/>
        </w:rPr>
        <w:t xml:space="preserve"> </w:t>
      </w:r>
      <w:proofErr w:type="spellStart"/>
      <w:r w:rsidR="00DC471C" w:rsidRPr="00FF4584">
        <w:rPr>
          <w:rFonts w:ascii="Times New Roman" w:eastAsia="Calibri" w:hAnsi="Times New Roman" w:cs="Times New Roman"/>
          <w:sz w:val="24"/>
          <w:szCs w:val="24"/>
        </w:rPr>
        <w:t>karşılaştırılabilirlik</w:t>
      </w:r>
      <w:proofErr w:type="spellEnd"/>
      <w:r w:rsidR="00DC471C" w:rsidRPr="00FF4584">
        <w:rPr>
          <w:rFonts w:ascii="Times New Roman" w:eastAsia="Calibri" w:hAnsi="Times New Roman" w:cs="Times New Roman"/>
          <w:sz w:val="24"/>
          <w:szCs w:val="24"/>
        </w:rPr>
        <w:t xml:space="preserve"> uygulamasında hedef, </w:t>
      </w:r>
      <w:proofErr w:type="spellStart"/>
      <w:r w:rsidR="00DC471C" w:rsidRPr="00FF4584">
        <w:rPr>
          <w:rFonts w:ascii="Times New Roman" w:eastAsia="Calibri" w:hAnsi="Times New Roman" w:cs="Times New Roman"/>
          <w:sz w:val="24"/>
          <w:szCs w:val="24"/>
        </w:rPr>
        <w:t>biyobenzer</w:t>
      </w:r>
      <w:proofErr w:type="spellEnd"/>
      <w:r w:rsidR="00DC471C" w:rsidRPr="00FF4584">
        <w:rPr>
          <w:rFonts w:ascii="Times New Roman" w:eastAsia="Calibri" w:hAnsi="Times New Roman" w:cs="Times New Roman"/>
          <w:sz w:val="24"/>
          <w:szCs w:val="24"/>
        </w:rPr>
        <w:t xml:space="preserve"> </w:t>
      </w:r>
      <w:r w:rsidR="00001294" w:rsidRPr="00FF4584">
        <w:rPr>
          <w:rFonts w:ascii="Times New Roman" w:eastAsia="Calibri" w:hAnsi="Times New Roman" w:cs="Times New Roman"/>
          <w:sz w:val="24"/>
          <w:szCs w:val="24"/>
        </w:rPr>
        <w:t xml:space="preserve">tıbbi ürün </w:t>
      </w:r>
      <w:r w:rsidR="00DC471C" w:rsidRPr="00FF4584">
        <w:rPr>
          <w:rFonts w:ascii="Times New Roman" w:eastAsia="Calibri" w:hAnsi="Times New Roman" w:cs="Times New Roman"/>
          <w:sz w:val="24"/>
          <w:szCs w:val="24"/>
        </w:rPr>
        <w:t xml:space="preserve">ve referans tıbbi ürün arasında farklılıkların olmamasıdır. Bu nedenle çalışmalar, bu tür farklılıkları tespit etmek için tasarım, yöntem, sonlanım noktası ve/veya </w:t>
      </w:r>
      <w:r w:rsidR="00CD05B0" w:rsidRPr="00FF4584">
        <w:rPr>
          <w:rFonts w:ascii="Times New Roman" w:eastAsia="Calibri" w:hAnsi="Times New Roman" w:cs="Times New Roman"/>
          <w:sz w:val="24"/>
          <w:szCs w:val="24"/>
        </w:rPr>
        <w:t xml:space="preserve">gönüllü </w:t>
      </w:r>
      <w:proofErr w:type="gramStart"/>
      <w:r w:rsidR="00DC471C" w:rsidRPr="00FF4584">
        <w:rPr>
          <w:rFonts w:ascii="Times New Roman" w:eastAsia="Calibri" w:hAnsi="Times New Roman" w:cs="Times New Roman"/>
          <w:sz w:val="24"/>
          <w:szCs w:val="24"/>
        </w:rPr>
        <w:t>popülasyon</w:t>
      </w:r>
      <w:r w:rsidR="00C853C0" w:rsidRPr="00FF4584">
        <w:rPr>
          <w:rFonts w:ascii="Times New Roman" w:eastAsia="Calibri" w:hAnsi="Times New Roman" w:cs="Times New Roman"/>
          <w:sz w:val="24"/>
          <w:szCs w:val="24"/>
        </w:rPr>
        <w:t>u</w:t>
      </w:r>
      <w:proofErr w:type="gramEnd"/>
      <w:r w:rsidR="00C853C0"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bakımından yeterince duyarlı olmalıdır. </w:t>
      </w:r>
    </w:p>
    <w:p w14:paraId="255F2746" w14:textId="77777777" w:rsidR="00DC471C" w:rsidRPr="00FF4584" w:rsidRDefault="00DC471C" w:rsidP="00327D21">
      <w:pPr>
        <w:spacing w:after="0" w:line="276" w:lineRule="auto"/>
        <w:jc w:val="both"/>
        <w:rPr>
          <w:rFonts w:ascii="Times New Roman" w:eastAsia="Calibri" w:hAnsi="Times New Roman" w:cs="Times New Roman"/>
          <w:sz w:val="24"/>
          <w:szCs w:val="24"/>
        </w:rPr>
      </w:pPr>
    </w:p>
    <w:p w14:paraId="4E72712F" w14:textId="77777777" w:rsidR="00FD6C48" w:rsidRDefault="005B311D" w:rsidP="00B86A56">
      <w:pPr>
        <w:pStyle w:val="AklamaMetni"/>
        <w:jc w:val="both"/>
        <w:rPr>
          <w:rFonts w:ascii="Times New Roman" w:hAnsi="Times New Roman" w:cs="Times New Roman"/>
        </w:rPr>
      </w:pPr>
      <w:r w:rsidRPr="00FF4584">
        <w:rPr>
          <w:rFonts w:ascii="Times New Roman" w:hAnsi="Times New Roman" w:cs="Times New Roman"/>
        </w:rPr>
        <w:t>(</w:t>
      </w:r>
      <w:r w:rsidR="0075771D" w:rsidRPr="00FF4584">
        <w:rPr>
          <w:rFonts w:ascii="Times New Roman" w:hAnsi="Times New Roman" w:cs="Times New Roman"/>
        </w:rPr>
        <w:t>6</w:t>
      </w:r>
      <w:r w:rsidRPr="00B86A56">
        <w:rPr>
          <w:rFonts w:ascii="Times New Roman" w:hAnsi="Times New Roman" w:cs="Times New Roman"/>
        </w:rPr>
        <w:t>)</w:t>
      </w:r>
      <w:r w:rsidR="00561031" w:rsidRPr="00B86A56">
        <w:rPr>
          <w:rFonts w:ascii="Times New Roman" w:hAnsi="Times New Roman" w:cs="Times New Roman"/>
        </w:rPr>
        <w:t xml:space="preserve"> </w:t>
      </w:r>
      <w:r w:rsidR="00585B52" w:rsidRPr="00B86A56">
        <w:rPr>
          <w:rFonts w:ascii="Times New Roman" w:hAnsi="Times New Roman" w:cs="Times New Roman"/>
        </w:rPr>
        <w:t xml:space="preserve">Özgül </w:t>
      </w:r>
      <w:r w:rsidR="00DC471C" w:rsidRPr="00B86A56">
        <w:rPr>
          <w:rFonts w:ascii="Times New Roman" w:hAnsi="Times New Roman" w:cs="Times New Roman"/>
        </w:rPr>
        <w:t xml:space="preserve">koşullarda, doğrulayıcı bir klinik çalışma gerekli olmayabilir. </w:t>
      </w:r>
      <w:r w:rsidR="00DE5BF7" w:rsidRPr="00B86A56">
        <w:rPr>
          <w:rFonts w:ascii="Times New Roman" w:hAnsi="Times New Roman" w:cs="Times New Roman"/>
        </w:rPr>
        <w:t xml:space="preserve">Bu koşul, </w:t>
      </w:r>
      <w:proofErr w:type="spellStart"/>
      <w:r w:rsidR="00DE5BF7" w:rsidRPr="00B86A56">
        <w:rPr>
          <w:rFonts w:ascii="Times New Roman" w:hAnsi="Times New Roman" w:cs="Times New Roman"/>
        </w:rPr>
        <w:t>b</w:t>
      </w:r>
      <w:r w:rsidR="00112C45" w:rsidRPr="00B86A56">
        <w:rPr>
          <w:rFonts w:ascii="Times New Roman" w:hAnsi="Times New Roman" w:cs="Times New Roman"/>
        </w:rPr>
        <w:t>iyobenzer</w:t>
      </w:r>
      <w:proofErr w:type="spellEnd"/>
      <w:r w:rsidR="00112C45" w:rsidRPr="00B86A56">
        <w:rPr>
          <w:rFonts w:ascii="Times New Roman" w:hAnsi="Times New Roman" w:cs="Times New Roman"/>
        </w:rPr>
        <w:t xml:space="preserve"> </w:t>
      </w:r>
      <w:r w:rsidR="00001294" w:rsidRPr="00B86A56">
        <w:rPr>
          <w:rFonts w:ascii="Times New Roman" w:hAnsi="Times New Roman" w:cs="Times New Roman"/>
        </w:rPr>
        <w:t xml:space="preserve">tıbbi ürün </w:t>
      </w:r>
      <w:r w:rsidR="00112C45" w:rsidRPr="00B86A56">
        <w:rPr>
          <w:rFonts w:ascii="Times New Roman" w:hAnsi="Times New Roman" w:cs="Times New Roman"/>
        </w:rPr>
        <w:t xml:space="preserve">ve referans </w:t>
      </w:r>
      <w:r w:rsidR="00900CAE" w:rsidRPr="00B86A56">
        <w:rPr>
          <w:rFonts w:ascii="Times New Roman" w:hAnsi="Times New Roman" w:cs="Times New Roman"/>
        </w:rPr>
        <w:t xml:space="preserve">tıbbi </w:t>
      </w:r>
      <w:r w:rsidR="00112C45" w:rsidRPr="00B86A56">
        <w:rPr>
          <w:rFonts w:ascii="Times New Roman" w:hAnsi="Times New Roman" w:cs="Times New Roman"/>
        </w:rPr>
        <w:t xml:space="preserve">ürünün </w:t>
      </w:r>
      <w:proofErr w:type="spellStart"/>
      <w:r w:rsidR="00112C45" w:rsidRPr="00B86A56">
        <w:rPr>
          <w:rFonts w:ascii="Times New Roman" w:hAnsi="Times New Roman" w:cs="Times New Roman"/>
        </w:rPr>
        <w:t>fizikokimyasal</w:t>
      </w:r>
      <w:proofErr w:type="spellEnd"/>
      <w:r w:rsidR="00112C45" w:rsidRPr="00B86A56">
        <w:rPr>
          <w:rFonts w:ascii="Times New Roman" w:hAnsi="Times New Roman" w:cs="Times New Roman"/>
        </w:rPr>
        <w:t xml:space="preserve"> karakteristiklerin</w:t>
      </w:r>
      <w:r w:rsidR="00FA4E98" w:rsidRPr="00B86A56">
        <w:rPr>
          <w:rFonts w:ascii="Times New Roman" w:hAnsi="Times New Roman" w:cs="Times New Roman"/>
        </w:rPr>
        <w:t>in,</w:t>
      </w:r>
      <w:r w:rsidR="00112C45" w:rsidRPr="00B86A56">
        <w:rPr>
          <w:rFonts w:ascii="Times New Roman" w:hAnsi="Times New Roman" w:cs="Times New Roman"/>
        </w:rPr>
        <w:t xml:space="preserve"> biyolojik aktivite/</w:t>
      </w:r>
      <w:proofErr w:type="spellStart"/>
      <w:r w:rsidR="00112C45" w:rsidRPr="00B86A56">
        <w:rPr>
          <w:rFonts w:ascii="Times New Roman" w:hAnsi="Times New Roman" w:cs="Times New Roman"/>
        </w:rPr>
        <w:t>potensinin</w:t>
      </w:r>
      <w:proofErr w:type="spellEnd"/>
      <w:r w:rsidR="00112C45" w:rsidRPr="00B86A56">
        <w:rPr>
          <w:rFonts w:ascii="Times New Roman" w:hAnsi="Times New Roman" w:cs="Times New Roman"/>
        </w:rPr>
        <w:t xml:space="preserve"> ve </w:t>
      </w:r>
      <w:proofErr w:type="spellStart"/>
      <w:r w:rsidR="00112C45" w:rsidRPr="00B86A56">
        <w:rPr>
          <w:rFonts w:ascii="Times New Roman" w:hAnsi="Times New Roman" w:cs="Times New Roman"/>
        </w:rPr>
        <w:t>farmakokinetik</w:t>
      </w:r>
      <w:proofErr w:type="spellEnd"/>
      <w:r w:rsidR="00112C45" w:rsidRPr="00B86A56">
        <w:rPr>
          <w:rFonts w:ascii="Times New Roman" w:hAnsi="Times New Roman" w:cs="Times New Roman"/>
        </w:rPr>
        <w:t xml:space="preserve"> ve/veya farmakodinamik </w:t>
      </w:r>
      <w:proofErr w:type="gramStart"/>
      <w:r w:rsidR="00112C45" w:rsidRPr="00B86A56">
        <w:rPr>
          <w:rFonts w:ascii="Times New Roman" w:hAnsi="Times New Roman" w:cs="Times New Roman"/>
        </w:rPr>
        <w:t>profillerinin</w:t>
      </w:r>
      <w:proofErr w:type="gramEnd"/>
      <w:r w:rsidR="00112C45" w:rsidRPr="00B86A56">
        <w:rPr>
          <w:rFonts w:ascii="Times New Roman" w:hAnsi="Times New Roman" w:cs="Times New Roman"/>
        </w:rPr>
        <w:t xml:space="preserve"> benzerliğinden</w:t>
      </w:r>
      <w:r w:rsidR="00FA4E98" w:rsidRPr="00B86A56">
        <w:rPr>
          <w:rFonts w:ascii="Times New Roman" w:hAnsi="Times New Roman" w:cs="Times New Roman"/>
        </w:rPr>
        <w:t>,</w:t>
      </w:r>
      <w:r w:rsidR="00112C45" w:rsidRPr="00B86A56">
        <w:rPr>
          <w:rFonts w:ascii="Times New Roman" w:hAnsi="Times New Roman" w:cs="Times New Roman"/>
        </w:rPr>
        <w:t xml:space="preserve"> benzer etkililik ve güvenli</w:t>
      </w:r>
      <w:r w:rsidR="00FA4E98" w:rsidRPr="00B86A56">
        <w:rPr>
          <w:rFonts w:ascii="Times New Roman" w:hAnsi="Times New Roman" w:cs="Times New Roman"/>
        </w:rPr>
        <w:t>li</w:t>
      </w:r>
      <w:r w:rsidR="00112C45" w:rsidRPr="00B86A56">
        <w:rPr>
          <w:rFonts w:ascii="Times New Roman" w:hAnsi="Times New Roman" w:cs="Times New Roman"/>
        </w:rPr>
        <w:t xml:space="preserve">ğin açıkça gösterilebildiği durumlar için </w:t>
      </w:r>
      <w:r w:rsidR="00FA4E98" w:rsidRPr="00B86A56">
        <w:rPr>
          <w:rFonts w:ascii="Times New Roman" w:hAnsi="Times New Roman" w:cs="Times New Roman"/>
        </w:rPr>
        <w:t xml:space="preserve">uygundur. </w:t>
      </w:r>
      <w:proofErr w:type="spellStart"/>
      <w:r w:rsidR="00B86A56" w:rsidRPr="00B86A56">
        <w:rPr>
          <w:rFonts w:ascii="Times New Roman" w:hAnsi="Times New Roman" w:cs="Times New Roman"/>
        </w:rPr>
        <w:t>Safsızlık</w:t>
      </w:r>
      <w:proofErr w:type="spellEnd"/>
      <w:r w:rsidR="00B86A56" w:rsidRPr="00B86A56">
        <w:rPr>
          <w:rFonts w:ascii="Times New Roman" w:hAnsi="Times New Roman" w:cs="Times New Roman"/>
        </w:rPr>
        <w:t xml:space="preserve"> </w:t>
      </w:r>
      <w:proofErr w:type="gramStart"/>
      <w:r w:rsidR="00B86A56" w:rsidRPr="00B86A56">
        <w:rPr>
          <w:rFonts w:ascii="Times New Roman" w:hAnsi="Times New Roman" w:cs="Times New Roman"/>
        </w:rPr>
        <w:t>profilinde</w:t>
      </w:r>
      <w:proofErr w:type="gramEnd"/>
      <w:r w:rsidR="00B86A56" w:rsidRPr="00B86A56">
        <w:rPr>
          <w:rFonts w:ascii="Times New Roman" w:hAnsi="Times New Roman" w:cs="Times New Roman"/>
        </w:rPr>
        <w:t xml:space="preserve"> veya </w:t>
      </w:r>
      <w:proofErr w:type="spellStart"/>
      <w:r w:rsidR="00B86A56" w:rsidRPr="00B86A56">
        <w:rPr>
          <w:rFonts w:ascii="Times New Roman" w:hAnsi="Times New Roman" w:cs="Times New Roman"/>
        </w:rPr>
        <w:t>biyobenzerin</w:t>
      </w:r>
      <w:proofErr w:type="spellEnd"/>
      <w:r w:rsidR="00B86A56" w:rsidRPr="00B86A56">
        <w:rPr>
          <w:rFonts w:ascii="Times New Roman" w:hAnsi="Times New Roman" w:cs="Times New Roman"/>
        </w:rPr>
        <w:t xml:space="preserve"> kendi yardımcı maddelerinin yapısında farklılıklar bulunması du</w:t>
      </w:r>
      <w:r w:rsidR="00B86A56">
        <w:rPr>
          <w:rFonts w:ascii="Times New Roman" w:hAnsi="Times New Roman" w:cs="Times New Roman"/>
        </w:rPr>
        <w:t xml:space="preserve">rumunda bu koşul uygulanamaz.  </w:t>
      </w:r>
    </w:p>
    <w:p w14:paraId="5785901E" w14:textId="77777777" w:rsidR="005A2CEC" w:rsidRDefault="005A2CEC" w:rsidP="00327D21">
      <w:pPr>
        <w:spacing w:line="276" w:lineRule="auto"/>
        <w:jc w:val="both"/>
        <w:rPr>
          <w:rFonts w:ascii="Times New Roman" w:hAnsi="Times New Roman" w:cs="Times New Roman"/>
          <w:sz w:val="24"/>
          <w:szCs w:val="24"/>
        </w:rPr>
      </w:pPr>
    </w:p>
    <w:p w14:paraId="39F6A358" w14:textId="77777777" w:rsidR="00113835" w:rsidRDefault="005954C9" w:rsidP="00EA32EB">
      <w:pPr>
        <w:pStyle w:val="ListeParagraf"/>
        <w:numPr>
          <w:ilvl w:val="0"/>
          <w:numId w:val="27"/>
        </w:num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BÖLÜM</w:t>
      </w:r>
    </w:p>
    <w:p w14:paraId="45E535A5" w14:textId="77777777" w:rsidR="00113835" w:rsidRDefault="00113835" w:rsidP="00EA32EB">
      <w:pPr>
        <w:pStyle w:val="ListeParagraf"/>
        <w:spacing w:after="0" w:line="276" w:lineRule="auto"/>
        <w:ind w:left="394"/>
        <w:jc w:val="both"/>
        <w:rPr>
          <w:rFonts w:ascii="Times New Roman" w:eastAsia="Calibri" w:hAnsi="Times New Roman" w:cs="Times New Roman"/>
          <w:b/>
          <w:sz w:val="24"/>
          <w:szCs w:val="24"/>
        </w:rPr>
      </w:pPr>
    </w:p>
    <w:p w14:paraId="0547CA25" w14:textId="77777777" w:rsidR="00113835" w:rsidRDefault="00836A85" w:rsidP="00EA32EB">
      <w:pPr>
        <w:spacing w:after="0" w:line="276" w:lineRule="auto"/>
        <w:ind w:left="34"/>
        <w:jc w:val="both"/>
        <w:rPr>
          <w:rFonts w:ascii="Times New Roman" w:eastAsia="Calibri" w:hAnsi="Times New Roman" w:cs="Times New Roman"/>
          <w:b/>
          <w:sz w:val="24"/>
          <w:szCs w:val="24"/>
        </w:rPr>
      </w:pPr>
      <w:r>
        <w:rPr>
          <w:rFonts w:ascii="Times New Roman" w:eastAsia="Calibri" w:hAnsi="Times New Roman" w:cs="Times New Roman"/>
          <w:b/>
          <w:sz w:val="24"/>
          <w:szCs w:val="24"/>
        </w:rPr>
        <w:t>KALİTE</w:t>
      </w:r>
    </w:p>
    <w:p w14:paraId="2E22A0B2" w14:textId="77777777" w:rsidR="00113835" w:rsidRDefault="00113835" w:rsidP="00EA32EB">
      <w:pPr>
        <w:spacing w:after="0" w:line="276" w:lineRule="auto"/>
        <w:ind w:left="34"/>
        <w:jc w:val="both"/>
        <w:rPr>
          <w:rFonts w:ascii="Times New Roman" w:eastAsia="Calibri" w:hAnsi="Times New Roman" w:cs="Times New Roman"/>
          <w:b/>
          <w:sz w:val="24"/>
          <w:szCs w:val="24"/>
        </w:rPr>
      </w:pPr>
    </w:p>
    <w:p w14:paraId="017B896F" w14:textId="77777777" w:rsidR="00D63541" w:rsidRPr="00EA32EB" w:rsidRDefault="00D63541" w:rsidP="0075771D">
      <w:pPr>
        <w:spacing w:line="276" w:lineRule="auto"/>
        <w:jc w:val="both"/>
        <w:rPr>
          <w:rFonts w:ascii="Times New Roman" w:eastAsia="Calibri" w:hAnsi="Times New Roman" w:cs="Times New Roman"/>
          <w:b/>
          <w:sz w:val="24"/>
          <w:szCs w:val="24"/>
        </w:rPr>
      </w:pPr>
      <w:r w:rsidRPr="00D63541">
        <w:rPr>
          <w:rFonts w:ascii="Times New Roman" w:eastAsia="Calibri" w:hAnsi="Times New Roman" w:cs="Times New Roman"/>
          <w:b/>
          <w:sz w:val="24"/>
          <w:szCs w:val="24"/>
        </w:rPr>
        <w:t>Benz</w:t>
      </w:r>
      <w:r>
        <w:rPr>
          <w:rFonts w:ascii="Times New Roman" w:eastAsia="Calibri" w:hAnsi="Times New Roman" w:cs="Times New Roman"/>
          <w:b/>
          <w:sz w:val="24"/>
          <w:szCs w:val="24"/>
        </w:rPr>
        <w:t>e</w:t>
      </w:r>
      <w:r w:rsidR="00113835" w:rsidRPr="00EA32EB">
        <w:rPr>
          <w:rFonts w:ascii="Times New Roman" w:eastAsia="Calibri" w:hAnsi="Times New Roman" w:cs="Times New Roman"/>
          <w:b/>
          <w:sz w:val="24"/>
          <w:szCs w:val="24"/>
        </w:rPr>
        <w:t>r Bir Biyolojik Tıbbi Ürünün Üretim Süreci</w:t>
      </w:r>
    </w:p>
    <w:p w14:paraId="7B5426B6" w14:textId="77777777" w:rsidR="0075771D" w:rsidRPr="00FF4584" w:rsidRDefault="00113835" w:rsidP="0075771D">
      <w:pPr>
        <w:spacing w:after="0" w:line="276" w:lineRule="auto"/>
        <w:jc w:val="both"/>
        <w:rPr>
          <w:rFonts w:ascii="Times New Roman" w:eastAsia="Calibri" w:hAnsi="Times New Roman" w:cs="Times New Roman"/>
          <w:sz w:val="24"/>
          <w:szCs w:val="24"/>
        </w:rPr>
      </w:pPr>
      <w:r w:rsidRPr="00EA32EB">
        <w:rPr>
          <w:rFonts w:ascii="Times New Roman" w:eastAsia="Calibri" w:hAnsi="Times New Roman" w:cs="Times New Roman"/>
          <w:b/>
          <w:sz w:val="24"/>
          <w:szCs w:val="24"/>
        </w:rPr>
        <w:t xml:space="preserve">MADDE 8- </w:t>
      </w:r>
      <w:r w:rsidRPr="00EA32EB">
        <w:rPr>
          <w:rFonts w:ascii="Times New Roman" w:eastAsia="Calibri" w:hAnsi="Times New Roman" w:cs="Times New Roman"/>
          <w:sz w:val="24"/>
          <w:szCs w:val="24"/>
        </w:rPr>
        <w:t>(1)</w:t>
      </w:r>
      <w:r w:rsidRPr="00EA32EB">
        <w:rPr>
          <w:rFonts w:ascii="Times New Roman" w:eastAsia="Calibri" w:hAnsi="Times New Roman" w:cs="Times New Roman"/>
          <w:b/>
          <w:sz w:val="24"/>
          <w:szCs w:val="24"/>
        </w:rPr>
        <w:t xml:space="preserve">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tıbbi ürün geliştirme ve belgelendirme süreci aşağıdaki hususları kapsamalıdır:</w:t>
      </w:r>
    </w:p>
    <w:p w14:paraId="665E0795" w14:textId="2F00BB2F" w:rsidR="00555F41" w:rsidRPr="00555F41" w:rsidRDefault="00113835" w:rsidP="00555F41">
      <w:pPr>
        <w:pStyle w:val="ListeParagraf"/>
        <w:numPr>
          <w:ilvl w:val="0"/>
          <w:numId w:val="39"/>
        </w:numPr>
        <w:spacing w:after="0" w:line="276" w:lineRule="auto"/>
        <w:jc w:val="both"/>
        <w:rPr>
          <w:rFonts w:ascii="Times New Roman" w:eastAsia="Calibri" w:hAnsi="Times New Roman" w:cs="Times New Roman"/>
          <w:sz w:val="24"/>
          <w:szCs w:val="24"/>
        </w:rPr>
      </w:pPr>
      <w:r w:rsidRPr="00555F41">
        <w:rPr>
          <w:rFonts w:ascii="Times New Roman" w:eastAsia="Calibri" w:hAnsi="Times New Roman" w:cs="Times New Roman"/>
          <w:sz w:val="24"/>
          <w:szCs w:val="24"/>
        </w:rPr>
        <w:t>H</w:t>
      </w:r>
      <w:r w:rsidR="00555F41" w:rsidRPr="00555F41">
        <w:rPr>
          <w:rFonts w:ascii="Times New Roman" w:eastAsia="Calibri" w:hAnsi="Times New Roman" w:cs="Times New Roman"/>
          <w:sz w:val="24"/>
          <w:szCs w:val="24"/>
        </w:rPr>
        <w:t>edef Ürün</w:t>
      </w:r>
      <w:r w:rsidR="003C7CE3">
        <w:rPr>
          <w:rFonts w:ascii="Times New Roman" w:eastAsia="Calibri" w:hAnsi="Times New Roman" w:cs="Times New Roman"/>
          <w:sz w:val="24"/>
          <w:szCs w:val="24"/>
        </w:rPr>
        <w:t xml:space="preserve"> Kalite</w:t>
      </w:r>
      <w:bookmarkStart w:id="0" w:name="_GoBack"/>
      <w:bookmarkEnd w:id="0"/>
      <w:r w:rsidR="00555F41" w:rsidRPr="00555F41">
        <w:rPr>
          <w:rFonts w:ascii="Times New Roman" w:eastAsia="Calibri" w:hAnsi="Times New Roman" w:cs="Times New Roman"/>
          <w:sz w:val="24"/>
          <w:szCs w:val="24"/>
        </w:rPr>
        <w:t xml:space="preserve"> Profili (</w:t>
      </w:r>
      <w:r w:rsidR="003C7CE3">
        <w:rPr>
          <w:rFonts w:ascii="Times New Roman" w:eastAsia="Calibri" w:hAnsi="Times New Roman" w:cs="Times New Roman"/>
          <w:sz w:val="24"/>
          <w:szCs w:val="24"/>
        </w:rPr>
        <w:t>HÜKP</w:t>
      </w:r>
      <w:r w:rsidRPr="00555F41">
        <w:rPr>
          <w:rFonts w:ascii="Times New Roman" w:eastAsia="Calibri" w:hAnsi="Times New Roman" w:cs="Times New Roman"/>
          <w:sz w:val="24"/>
          <w:szCs w:val="24"/>
        </w:rPr>
        <w:t xml:space="preserve">) ve molekül özellikleri referans tıbbi ürünle </w:t>
      </w:r>
      <w:r w:rsidR="00555F41" w:rsidRPr="00555F41">
        <w:rPr>
          <w:rFonts w:ascii="Times New Roman" w:eastAsia="Calibri" w:hAnsi="Times New Roman" w:cs="Times New Roman"/>
          <w:sz w:val="24"/>
          <w:szCs w:val="24"/>
        </w:rPr>
        <w:t xml:space="preserve"> </w:t>
      </w:r>
    </w:p>
    <w:p w14:paraId="4055C10F" w14:textId="77777777" w:rsidR="0075771D" w:rsidRPr="00555F41" w:rsidRDefault="00113835" w:rsidP="00555F41">
      <w:pPr>
        <w:pStyle w:val="ListeParagraf"/>
        <w:spacing w:after="0" w:line="276" w:lineRule="auto"/>
        <w:ind w:left="1068"/>
        <w:jc w:val="both"/>
        <w:rPr>
          <w:rFonts w:ascii="Times New Roman" w:eastAsia="Calibri" w:hAnsi="Times New Roman" w:cs="Times New Roman"/>
          <w:sz w:val="24"/>
          <w:szCs w:val="24"/>
        </w:rPr>
      </w:pPr>
      <w:proofErr w:type="gramStart"/>
      <w:r w:rsidRPr="00555F41">
        <w:rPr>
          <w:rFonts w:ascii="Times New Roman" w:eastAsia="Calibri" w:hAnsi="Times New Roman" w:cs="Times New Roman"/>
          <w:sz w:val="24"/>
          <w:szCs w:val="24"/>
        </w:rPr>
        <w:t>karşılaştırılabilir</w:t>
      </w:r>
      <w:proofErr w:type="gramEnd"/>
      <w:r w:rsidRPr="00555F41">
        <w:rPr>
          <w:rFonts w:ascii="Times New Roman" w:eastAsia="Calibri" w:hAnsi="Times New Roman" w:cs="Times New Roman"/>
          <w:sz w:val="24"/>
          <w:szCs w:val="24"/>
        </w:rPr>
        <w:t xml:space="preserve"> olmalıdır.</w:t>
      </w:r>
    </w:p>
    <w:p w14:paraId="34DC45CD" w14:textId="77777777" w:rsidR="0075771D" w:rsidRPr="00555F41" w:rsidRDefault="00113835" w:rsidP="00555F41">
      <w:pPr>
        <w:pStyle w:val="ListeParagraf"/>
        <w:numPr>
          <w:ilvl w:val="0"/>
          <w:numId w:val="38"/>
        </w:numPr>
        <w:spacing w:after="0" w:line="276" w:lineRule="auto"/>
        <w:jc w:val="both"/>
        <w:rPr>
          <w:rFonts w:ascii="Times New Roman" w:eastAsia="Calibri" w:hAnsi="Times New Roman" w:cs="Times New Roman"/>
          <w:sz w:val="24"/>
          <w:szCs w:val="24"/>
        </w:rPr>
      </w:pPr>
      <w:proofErr w:type="spellStart"/>
      <w:r w:rsidRPr="00555F41">
        <w:rPr>
          <w:rFonts w:ascii="Times New Roman" w:eastAsia="Calibri" w:hAnsi="Times New Roman" w:cs="Times New Roman"/>
          <w:sz w:val="24"/>
          <w:szCs w:val="24"/>
        </w:rPr>
        <w:t>Biyobenzer</w:t>
      </w:r>
      <w:proofErr w:type="spellEnd"/>
      <w:r w:rsidRPr="00555F41">
        <w:rPr>
          <w:rFonts w:ascii="Times New Roman" w:eastAsia="Calibri" w:hAnsi="Times New Roman" w:cs="Times New Roman"/>
          <w:sz w:val="24"/>
          <w:szCs w:val="24"/>
        </w:rPr>
        <w:t xml:space="preserve"> tıbbi ürün üretim sürecinin performansı kendine özgü ve tutarlı olmalıdır</w:t>
      </w:r>
    </w:p>
    <w:p w14:paraId="016E8BCA" w14:textId="77777777" w:rsidR="0075771D" w:rsidRPr="00FF4584" w:rsidRDefault="0075771D" w:rsidP="0075771D">
      <w:pPr>
        <w:spacing w:after="0" w:line="276" w:lineRule="auto"/>
        <w:ind w:left="720"/>
        <w:jc w:val="both"/>
        <w:rPr>
          <w:rFonts w:ascii="Times New Roman" w:eastAsia="Calibri" w:hAnsi="Times New Roman" w:cs="Times New Roman"/>
          <w:sz w:val="24"/>
          <w:szCs w:val="24"/>
        </w:rPr>
      </w:pPr>
    </w:p>
    <w:p w14:paraId="08F56E59" w14:textId="61AAA7B6" w:rsidR="0075771D" w:rsidRPr="00FF4584" w:rsidRDefault="00113835" w:rsidP="0075771D">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(2) </w:t>
      </w:r>
      <w:r w:rsidR="005D3A7E">
        <w:rPr>
          <w:rFonts w:ascii="Times New Roman" w:eastAsia="Calibri" w:hAnsi="Times New Roman" w:cs="Times New Roman"/>
          <w:sz w:val="24"/>
          <w:szCs w:val="24"/>
        </w:rPr>
        <w:t xml:space="preserve">Bir </w:t>
      </w:r>
      <w:proofErr w:type="spellStart"/>
      <w:r w:rsidR="005D3A7E">
        <w:rPr>
          <w:rFonts w:ascii="Times New Roman" w:eastAsia="Calibri" w:hAnsi="Times New Roman" w:cs="Times New Roman"/>
          <w:sz w:val="24"/>
          <w:szCs w:val="24"/>
        </w:rPr>
        <w:t>biyobenzer</w:t>
      </w:r>
      <w:proofErr w:type="spellEnd"/>
      <w:r w:rsidR="005D3A7E">
        <w:rPr>
          <w:rFonts w:ascii="Times New Roman" w:eastAsia="Calibri" w:hAnsi="Times New Roman" w:cs="Times New Roman"/>
          <w:sz w:val="24"/>
          <w:szCs w:val="24"/>
        </w:rPr>
        <w:t xml:space="preserve"> tıbbi ürünün </w:t>
      </w:r>
      <w:proofErr w:type="spellStart"/>
      <w:r w:rsidR="003C7CE3">
        <w:rPr>
          <w:rFonts w:ascii="Times New Roman" w:eastAsia="Calibri" w:hAnsi="Times New Roman" w:cs="Times New Roman"/>
          <w:sz w:val="24"/>
          <w:szCs w:val="24"/>
        </w:rPr>
        <w:t>HÜKP</w:t>
      </w:r>
      <w:r w:rsidRPr="00FF4584">
        <w:rPr>
          <w:rFonts w:ascii="Times New Roman" w:eastAsia="Calibri" w:hAnsi="Times New Roman" w:cs="Times New Roman"/>
          <w:sz w:val="24"/>
          <w:szCs w:val="24"/>
        </w:rPr>
        <w:t>’si</w:t>
      </w:r>
      <w:proofErr w:type="spellEnd"/>
      <w:r w:rsidRPr="00FF4584">
        <w:rPr>
          <w:rFonts w:ascii="Times New Roman" w:eastAsia="Calibri" w:hAnsi="Times New Roman" w:cs="Times New Roman"/>
          <w:sz w:val="24"/>
          <w:szCs w:val="24"/>
        </w:rPr>
        <w:t xml:space="preserve">, seçilmiş referans tıbbi üründen sağlanan bilgilere, ulaşılabilir kaynaklara ve referans tıbbi ürünün kapsamlı </w:t>
      </w:r>
      <w:proofErr w:type="spellStart"/>
      <w:r w:rsidRPr="00FF4584">
        <w:rPr>
          <w:rFonts w:ascii="Times New Roman" w:eastAsia="Calibri" w:hAnsi="Times New Roman" w:cs="Times New Roman"/>
          <w:sz w:val="24"/>
          <w:szCs w:val="24"/>
        </w:rPr>
        <w:t>karakterizasyonundan</w:t>
      </w:r>
      <w:proofErr w:type="spellEnd"/>
      <w:r w:rsidRPr="00FF4584">
        <w:rPr>
          <w:rFonts w:ascii="Times New Roman" w:eastAsia="Calibri" w:hAnsi="Times New Roman" w:cs="Times New Roman"/>
          <w:sz w:val="24"/>
          <w:szCs w:val="24"/>
        </w:rPr>
        <w:t xml:space="preserve"> elde edile</w:t>
      </w:r>
      <w:r w:rsidR="005D3A7E">
        <w:rPr>
          <w:rFonts w:ascii="Times New Roman" w:eastAsia="Calibri" w:hAnsi="Times New Roman" w:cs="Times New Roman"/>
          <w:sz w:val="24"/>
          <w:szCs w:val="24"/>
        </w:rPr>
        <w:t xml:space="preserve">n verilere dayandırılmalıdır. </w:t>
      </w:r>
      <w:r w:rsidR="003C7CE3">
        <w:rPr>
          <w:rFonts w:ascii="Times New Roman" w:eastAsia="Calibri" w:hAnsi="Times New Roman" w:cs="Times New Roman"/>
          <w:sz w:val="24"/>
          <w:szCs w:val="24"/>
        </w:rPr>
        <w:t>HÜKP</w:t>
      </w:r>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tıbbi ürün geliştirilmesinin ve üretim işlemlerinin temelini oluşturmalıdır. </w:t>
      </w:r>
    </w:p>
    <w:p w14:paraId="4A96F505" w14:textId="77777777" w:rsidR="0075771D" w:rsidRPr="00FF4584" w:rsidRDefault="0075771D" w:rsidP="0075771D">
      <w:pPr>
        <w:spacing w:after="0" w:line="276" w:lineRule="auto"/>
        <w:jc w:val="both"/>
        <w:rPr>
          <w:rFonts w:ascii="Times New Roman" w:eastAsia="Calibri" w:hAnsi="Times New Roman" w:cs="Times New Roman"/>
          <w:sz w:val="24"/>
          <w:szCs w:val="24"/>
        </w:rPr>
      </w:pPr>
    </w:p>
    <w:p w14:paraId="1C4297FF" w14:textId="3495546F" w:rsidR="0075771D" w:rsidRPr="00FF4584" w:rsidRDefault="00113835" w:rsidP="0075771D">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lastRenderedPageBreak/>
        <w:t xml:space="preserve">(3)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tıbbi ürün, üretim </w:t>
      </w:r>
      <w:proofErr w:type="gramStart"/>
      <w:r w:rsidRPr="00FF4584">
        <w:rPr>
          <w:rFonts w:ascii="Times New Roman" w:eastAsia="Calibri" w:hAnsi="Times New Roman" w:cs="Times New Roman"/>
          <w:sz w:val="24"/>
          <w:szCs w:val="24"/>
        </w:rPr>
        <w:t>süreçlerindeki  en</w:t>
      </w:r>
      <w:proofErr w:type="gramEnd"/>
      <w:r w:rsidRPr="00FF4584">
        <w:rPr>
          <w:rFonts w:ascii="Times New Roman" w:eastAsia="Calibri" w:hAnsi="Times New Roman" w:cs="Times New Roman"/>
          <w:sz w:val="24"/>
          <w:szCs w:val="24"/>
        </w:rPr>
        <w:t xml:space="preserve"> gelişmiş teknoloji ve bilgiler ile ürün özellikleri dikkate alınarak kendi gelişimine uygun olarak üretilmeli ve kontrol edilmelidir. Her biyolojik tıbbi üründe olduğu gibi,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tıbbi ürün, üretim sürecinin sonucunda oluşan etkin maddenin molekül</w:t>
      </w:r>
      <w:r w:rsidR="002B18F4">
        <w:rPr>
          <w:rFonts w:ascii="Times New Roman" w:eastAsia="Calibri" w:hAnsi="Times New Roman" w:cs="Times New Roman"/>
          <w:sz w:val="24"/>
          <w:szCs w:val="24"/>
        </w:rPr>
        <w:t>er bileşimi ile tanımlanmalıdır</w:t>
      </w:r>
      <w:r w:rsidR="00FE7B93">
        <w:rPr>
          <w:rFonts w:ascii="Times New Roman" w:eastAsia="Calibri" w:hAnsi="Times New Roman" w:cs="Times New Roman"/>
          <w:sz w:val="24"/>
          <w:szCs w:val="24"/>
        </w:rPr>
        <w:t xml:space="preserve">. </w:t>
      </w:r>
      <w:proofErr w:type="spellStart"/>
      <w:r w:rsidR="003C7CE3">
        <w:rPr>
          <w:rFonts w:ascii="Times New Roman" w:eastAsia="Calibri" w:hAnsi="Times New Roman" w:cs="Times New Roman"/>
          <w:sz w:val="24"/>
          <w:szCs w:val="24"/>
        </w:rPr>
        <w:t>HÜKP</w:t>
      </w:r>
      <w:r w:rsidRPr="00FF4584">
        <w:rPr>
          <w:rFonts w:ascii="Times New Roman" w:eastAsia="Calibri" w:hAnsi="Times New Roman" w:cs="Times New Roman"/>
          <w:sz w:val="24"/>
          <w:szCs w:val="24"/>
        </w:rPr>
        <w:t>’yi</w:t>
      </w:r>
      <w:proofErr w:type="spellEnd"/>
      <w:r w:rsidRPr="00FF4584">
        <w:rPr>
          <w:rFonts w:ascii="Times New Roman" w:eastAsia="Calibri" w:hAnsi="Times New Roman" w:cs="Times New Roman"/>
          <w:sz w:val="24"/>
          <w:szCs w:val="24"/>
        </w:rPr>
        <w:t xml:space="preserve"> oluştururken, üretim sürecinde ürüne özgü moleküler varyantlar ve </w:t>
      </w:r>
      <w:proofErr w:type="spellStart"/>
      <w:r w:rsidRPr="00FF4584">
        <w:rPr>
          <w:rFonts w:ascii="Times New Roman" w:eastAsia="Calibri" w:hAnsi="Times New Roman" w:cs="Times New Roman"/>
          <w:sz w:val="24"/>
          <w:szCs w:val="24"/>
        </w:rPr>
        <w:t>izoformlar</w:t>
      </w:r>
      <w:proofErr w:type="spellEnd"/>
      <w:r w:rsidRPr="00FF4584">
        <w:rPr>
          <w:rFonts w:ascii="Times New Roman" w:eastAsia="Calibri" w:hAnsi="Times New Roman" w:cs="Times New Roman"/>
          <w:sz w:val="24"/>
          <w:szCs w:val="24"/>
        </w:rPr>
        <w:t xml:space="preserve"> dikkate alınmalıdır. </w:t>
      </w:r>
    </w:p>
    <w:p w14:paraId="41CDE542" w14:textId="77777777" w:rsidR="0075771D" w:rsidRPr="00FF4584" w:rsidRDefault="00113835" w:rsidP="0075771D">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 </w:t>
      </w:r>
    </w:p>
    <w:p w14:paraId="12E0E3BB" w14:textId="77777777" w:rsidR="0075771D" w:rsidRDefault="00113835" w:rsidP="0075771D">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(4)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tıbbi ürün referans tıbbi ürün ile karşılaştırıldığında </w:t>
      </w:r>
      <w:proofErr w:type="spellStart"/>
      <w:r w:rsidRPr="00FF4584">
        <w:rPr>
          <w:rFonts w:ascii="Times New Roman" w:eastAsia="Calibri" w:hAnsi="Times New Roman" w:cs="Times New Roman"/>
          <w:sz w:val="24"/>
          <w:szCs w:val="24"/>
        </w:rPr>
        <w:t>atipik</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glikozilasyon</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paterni</w:t>
      </w:r>
      <w:proofErr w:type="spellEnd"/>
      <w:r w:rsidRPr="00FF4584">
        <w:rPr>
          <w:rFonts w:ascii="Times New Roman" w:eastAsia="Calibri" w:hAnsi="Times New Roman" w:cs="Times New Roman"/>
          <w:sz w:val="24"/>
          <w:szCs w:val="24"/>
        </w:rPr>
        <w:t xml:space="preserve">, yüksek değişkenlik veya farklı bir </w:t>
      </w:r>
      <w:proofErr w:type="spellStart"/>
      <w:r w:rsidRPr="00FF4584">
        <w:rPr>
          <w:rFonts w:ascii="Times New Roman" w:eastAsia="Calibri" w:hAnsi="Times New Roman" w:cs="Times New Roman"/>
          <w:sz w:val="24"/>
          <w:szCs w:val="24"/>
        </w:rPr>
        <w:t>safsızlık</w:t>
      </w:r>
      <w:proofErr w:type="spellEnd"/>
      <w:r w:rsidRPr="00FF4584">
        <w:rPr>
          <w:rFonts w:ascii="Times New Roman" w:eastAsia="Calibri" w:hAnsi="Times New Roman" w:cs="Times New Roman"/>
          <w:sz w:val="24"/>
          <w:szCs w:val="24"/>
        </w:rPr>
        <w:t xml:space="preserve"> </w:t>
      </w:r>
      <w:proofErr w:type="gramStart"/>
      <w:r w:rsidRPr="00FF4584">
        <w:rPr>
          <w:rFonts w:ascii="Times New Roman" w:eastAsia="Calibri" w:hAnsi="Times New Roman" w:cs="Times New Roman"/>
          <w:sz w:val="24"/>
          <w:szCs w:val="24"/>
        </w:rPr>
        <w:t>profili</w:t>
      </w:r>
      <w:proofErr w:type="gramEnd"/>
      <w:r w:rsidRPr="00FF4584">
        <w:rPr>
          <w:rFonts w:ascii="Times New Roman" w:eastAsia="Calibri" w:hAnsi="Times New Roman" w:cs="Times New Roman"/>
          <w:sz w:val="24"/>
          <w:szCs w:val="24"/>
        </w:rPr>
        <w:t xml:space="preserve"> gibi istenmeyen sonuçlara yol açmayacak şekilde dikkatle seçilmiş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ekspresyon sisteminde üretilmeli ve vektöre ait bilgiler başvuru dosyasında ayrıntılı olarak sunulmalıdır.  </w:t>
      </w:r>
    </w:p>
    <w:p w14:paraId="588D2CBD" w14:textId="77777777" w:rsidR="00FE7B93" w:rsidRPr="00FF4584" w:rsidRDefault="00FE7B93" w:rsidP="0075771D">
      <w:pPr>
        <w:spacing w:after="0" w:line="276" w:lineRule="auto"/>
        <w:jc w:val="both"/>
        <w:rPr>
          <w:rFonts w:ascii="Times New Roman" w:eastAsia="Calibri" w:hAnsi="Times New Roman" w:cs="Times New Roman"/>
          <w:sz w:val="24"/>
          <w:szCs w:val="24"/>
        </w:rPr>
      </w:pPr>
    </w:p>
    <w:p w14:paraId="3AFA2427" w14:textId="77777777" w:rsidR="00FE7B93" w:rsidRDefault="00FE7B93" w:rsidP="007577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113835" w:rsidRPr="00FF4584">
        <w:rPr>
          <w:rFonts w:ascii="Times New Roman" w:eastAsia="Calibri" w:hAnsi="Times New Roman" w:cs="Times New Roman"/>
          <w:sz w:val="24"/>
          <w:szCs w:val="24"/>
        </w:rPr>
        <w:t xml:space="preserve">Hücre bankalarının </w:t>
      </w:r>
      <w:r w:rsidR="00875925">
        <w:rPr>
          <w:rFonts w:ascii="Times New Roman" w:eastAsia="Calibri" w:hAnsi="Times New Roman" w:cs="Times New Roman"/>
          <w:sz w:val="24"/>
          <w:szCs w:val="24"/>
        </w:rPr>
        <w:t>İyi Üretim Uygulamaları (</w:t>
      </w:r>
      <w:proofErr w:type="spellStart"/>
      <w:r w:rsidR="00875925">
        <w:rPr>
          <w:rFonts w:ascii="Times New Roman" w:eastAsia="Calibri" w:hAnsi="Times New Roman" w:cs="Times New Roman"/>
          <w:sz w:val="24"/>
          <w:szCs w:val="24"/>
        </w:rPr>
        <w:t>Good</w:t>
      </w:r>
      <w:proofErr w:type="spellEnd"/>
      <w:r w:rsidR="00875925">
        <w:rPr>
          <w:rFonts w:ascii="Times New Roman" w:eastAsia="Calibri" w:hAnsi="Times New Roman" w:cs="Times New Roman"/>
          <w:sz w:val="24"/>
          <w:szCs w:val="24"/>
        </w:rPr>
        <w:t xml:space="preserve"> </w:t>
      </w:r>
      <w:proofErr w:type="spellStart"/>
      <w:r w:rsidR="00875925">
        <w:rPr>
          <w:rFonts w:ascii="Times New Roman" w:eastAsia="Calibri" w:hAnsi="Times New Roman" w:cs="Times New Roman"/>
          <w:sz w:val="24"/>
          <w:szCs w:val="24"/>
        </w:rPr>
        <w:t>Manufacturing</w:t>
      </w:r>
      <w:proofErr w:type="spellEnd"/>
      <w:r w:rsidR="00875925">
        <w:rPr>
          <w:rFonts w:ascii="Times New Roman" w:eastAsia="Calibri" w:hAnsi="Times New Roman" w:cs="Times New Roman"/>
          <w:sz w:val="24"/>
          <w:szCs w:val="24"/>
        </w:rPr>
        <w:t xml:space="preserve"> </w:t>
      </w:r>
      <w:proofErr w:type="spellStart"/>
      <w:r w:rsidR="00875925">
        <w:rPr>
          <w:rFonts w:ascii="Times New Roman" w:eastAsia="Calibri" w:hAnsi="Times New Roman" w:cs="Times New Roman"/>
          <w:sz w:val="24"/>
          <w:szCs w:val="24"/>
        </w:rPr>
        <w:t>Practice</w:t>
      </w:r>
      <w:proofErr w:type="spellEnd"/>
      <w:r w:rsidR="00875925">
        <w:rPr>
          <w:rFonts w:ascii="Times New Roman" w:eastAsia="Calibri" w:hAnsi="Times New Roman" w:cs="Times New Roman"/>
          <w:sz w:val="24"/>
          <w:szCs w:val="24"/>
        </w:rPr>
        <w:t>-</w:t>
      </w:r>
      <w:r w:rsidR="00113835" w:rsidRPr="00FF4584">
        <w:rPr>
          <w:rFonts w:ascii="Times New Roman" w:eastAsia="Calibri" w:hAnsi="Times New Roman" w:cs="Times New Roman"/>
          <w:sz w:val="24"/>
          <w:szCs w:val="24"/>
        </w:rPr>
        <w:t>GMP</w:t>
      </w:r>
      <w:r w:rsidR="00875925">
        <w:rPr>
          <w:rFonts w:ascii="Times New Roman" w:eastAsia="Calibri" w:hAnsi="Times New Roman" w:cs="Times New Roman"/>
          <w:sz w:val="24"/>
          <w:szCs w:val="24"/>
        </w:rPr>
        <w:t>)</w:t>
      </w:r>
      <w:r w:rsidR="004F57A7">
        <w:rPr>
          <w:rFonts w:ascii="Times New Roman" w:eastAsia="Calibri" w:hAnsi="Times New Roman" w:cs="Times New Roman"/>
          <w:sz w:val="24"/>
          <w:szCs w:val="24"/>
        </w:rPr>
        <w:t xml:space="preserve"> sertifikaları, </w:t>
      </w:r>
      <w:r>
        <w:rPr>
          <w:rFonts w:ascii="Times New Roman" w:eastAsia="Calibri" w:hAnsi="Times New Roman" w:cs="Times New Roman"/>
          <w:sz w:val="24"/>
          <w:szCs w:val="24"/>
        </w:rPr>
        <w:t xml:space="preserve">hücre bankalarının geliştirilmesi, </w:t>
      </w:r>
      <w:proofErr w:type="spellStart"/>
      <w:r>
        <w:rPr>
          <w:rFonts w:ascii="Times New Roman" w:eastAsia="Calibri" w:hAnsi="Times New Roman" w:cs="Times New Roman"/>
          <w:sz w:val="24"/>
          <w:szCs w:val="24"/>
        </w:rPr>
        <w:t>karakterizasyonu</w:t>
      </w:r>
      <w:proofErr w:type="spellEnd"/>
      <w:r>
        <w:rPr>
          <w:rFonts w:ascii="Times New Roman" w:eastAsia="Calibri" w:hAnsi="Times New Roman" w:cs="Times New Roman"/>
          <w:sz w:val="24"/>
          <w:szCs w:val="24"/>
        </w:rPr>
        <w:t xml:space="preserve"> ve </w:t>
      </w:r>
      <w:proofErr w:type="gramStart"/>
      <w:r>
        <w:rPr>
          <w:rFonts w:ascii="Times New Roman" w:eastAsia="Calibri" w:hAnsi="Times New Roman" w:cs="Times New Roman"/>
          <w:sz w:val="24"/>
          <w:szCs w:val="24"/>
        </w:rPr>
        <w:t>klon</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stabilitesine</w:t>
      </w:r>
      <w:proofErr w:type="spellEnd"/>
      <w:r>
        <w:rPr>
          <w:rFonts w:ascii="Times New Roman" w:eastAsia="Calibri" w:hAnsi="Times New Roman" w:cs="Times New Roman"/>
          <w:sz w:val="24"/>
          <w:szCs w:val="24"/>
        </w:rPr>
        <w:t xml:space="preserve"> ait veriler </w:t>
      </w:r>
      <w:r w:rsidR="00113835" w:rsidRPr="00FF4584">
        <w:rPr>
          <w:rFonts w:ascii="Times New Roman" w:eastAsia="Calibri" w:hAnsi="Times New Roman" w:cs="Times New Roman"/>
          <w:sz w:val="24"/>
          <w:szCs w:val="24"/>
        </w:rPr>
        <w:t xml:space="preserve">sunulmalıdır.  </w:t>
      </w:r>
    </w:p>
    <w:p w14:paraId="2949CFAD" w14:textId="77777777" w:rsidR="00FE7B93" w:rsidRDefault="00FE7B93" w:rsidP="0075771D">
      <w:pPr>
        <w:spacing w:after="0" w:line="276" w:lineRule="auto"/>
        <w:jc w:val="both"/>
        <w:rPr>
          <w:rFonts w:ascii="Times New Roman" w:eastAsia="Calibri" w:hAnsi="Times New Roman" w:cs="Times New Roman"/>
          <w:sz w:val="24"/>
          <w:szCs w:val="24"/>
        </w:rPr>
      </w:pPr>
    </w:p>
    <w:p w14:paraId="0FB0DBB8" w14:textId="77777777" w:rsidR="0075771D" w:rsidRPr="00FF4584" w:rsidRDefault="00FE7B93" w:rsidP="007577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13835" w:rsidRPr="00FF4584">
        <w:rPr>
          <w:rFonts w:ascii="Times New Roman" w:eastAsia="Calibri" w:hAnsi="Times New Roman" w:cs="Times New Roman"/>
          <w:sz w:val="24"/>
          <w:szCs w:val="24"/>
        </w:rPr>
        <w:t xml:space="preserve">Her türlü </w:t>
      </w:r>
      <w:proofErr w:type="spellStart"/>
      <w:r w:rsidR="00113835" w:rsidRPr="00FF4584">
        <w:rPr>
          <w:rFonts w:ascii="Times New Roman" w:eastAsia="Calibri" w:hAnsi="Times New Roman" w:cs="Times New Roman"/>
          <w:sz w:val="24"/>
          <w:szCs w:val="24"/>
        </w:rPr>
        <w:t>biyoteknolojik</w:t>
      </w:r>
      <w:proofErr w:type="spellEnd"/>
      <w:r w:rsidR="00113835" w:rsidRPr="00FF4584">
        <w:rPr>
          <w:rFonts w:ascii="Times New Roman" w:eastAsia="Calibri" w:hAnsi="Times New Roman" w:cs="Times New Roman"/>
          <w:sz w:val="24"/>
          <w:szCs w:val="24"/>
        </w:rPr>
        <w:t xml:space="preserve"> tıbbi ürünün geliştirilmesi sırasında üretim yöntemind</w:t>
      </w:r>
      <w:r w:rsidR="00A42F8E">
        <w:rPr>
          <w:rFonts w:ascii="Times New Roman" w:eastAsia="Calibri" w:hAnsi="Times New Roman" w:cs="Times New Roman"/>
          <w:sz w:val="24"/>
          <w:szCs w:val="24"/>
        </w:rPr>
        <w:t>e bir değişiklik yapıldığında</w:t>
      </w:r>
      <w:r w:rsidR="00113835" w:rsidRPr="00FF4584">
        <w:rPr>
          <w:rFonts w:ascii="Times New Roman" w:eastAsia="Calibri" w:hAnsi="Times New Roman" w:cs="Times New Roman"/>
          <w:sz w:val="24"/>
          <w:szCs w:val="24"/>
        </w:rPr>
        <w:t xml:space="preserve"> </w:t>
      </w:r>
      <w:r w:rsidR="00BA5982">
        <w:rPr>
          <w:rFonts w:ascii="Times New Roman" w:eastAsia="Calibri" w:hAnsi="Times New Roman" w:cs="Times New Roman"/>
          <w:sz w:val="24"/>
          <w:szCs w:val="24"/>
        </w:rPr>
        <w:t>g</w:t>
      </w:r>
      <w:r w:rsidR="00113835" w:rsidRPr="00FF4584">
        <w:rPr>
          <w:rFonts w:ascii="Times New Roman" w:eastAsia="Calibri" w:hAnsi="Times New Roman" w:cs="Times New Roman"/>
          <w:sz w:val="24"/>
          <w:szCs w:val="24"/>
        </w:rPr>
        <w:t xml:space="preserve">eliştirme sırasında uygulanan yöntem değişiklikleri için bir </w:t>
      </w:r>
      <w:proofErr w:type="spellStart"/>
      <w:r w:rsidR="00113835" w:rsidRPr="00FF4584">
        <w:rPr>
          <w:rFonts w:ascii="Times New Roman" w:eastAsia="Calibri" w:hAnsi="Times New Roman" w:cs="Times New Roman"/>
          <w:sz w:val="24"/>
          <w:szCs w:val="24"/>
        </w:rPr>
        <w:t>karşılaştırılabilirlik</w:t>
      </w:r>
      <w:proofErr w:type="spellEnd"/>
      <w:r w:rsidR="00113835" w:rsidRPr="00FF4584">
        <w:rPr>
          <w:rFonts w:ascii="Times New Roman" w:eastAsia="Calibri" w:hAnsi="Times New Roman" w:cs="Times New Roman"/>
          <w:sz w:val="24"/>
          <w:szCs w:val="24"/>
        </w:rPr>
        <w:t xml:space="preserve"> çalışması yapılmalı ve</w:t>
      </w:r>
      <w:r w:rsidR="00BA5982">
        <w:rPr>
          <w:rFonts w:ascii="Times New Roman" w:eastAsia="Calibri" w:hAnsi="Times New Roman" w:cs="Times New Roman"/>
          <w:sz w:val="24"/>
          <w:szCs w:val="24"/>
        </w:rPr>
        <w:t xml:space="preserve"> bu çalışmalar</w:t>
      </w:r>
      <w:r w:rsidR="00113835" w:rsidRPr="00FF4584">
        <w:rPr>
          <w:rFonts w:ascii="Times New Roman" w:eastAsia="Calibri" w:hAnsi="Times New Roman" w:cs="Times New Roman"/>
          <w:sz w:val="24"/>
          <w:szCs w:val="24"/>
        </w:rPr>
        <w:t xml:space="preserve"> </w:t>
      </w:r>
      <w:proofErr w:type="spellStart"/>
      <w:r w:rsidR="00FB4EDD">
        <w:rPr>
          <w:rFonts w:ascii="Times New Roman" w:eastAsia="Calibri" w:hAnsi="Times New Roman" w:cs="Times New Roman"/>
          <w:sz w:val="24"/>
          <w:szCs w:val="24"/>
        </w:rPr>
        <w:t>biyobenzer</w:t>
      </w:r>
      <w:proofErr w:type="spellEnd"/>
      <w:r w:rsidR="00FB4EDD">
        <w:rPr>
          <w:rFonts w:ascii="Times New Roman" w:eastAsia="Calibri" w:hAnsi="Times New Roman" w:cs="Times New Roman"/>
          <w:sz w:val="24"/>
          <w:szCs w:val="24"/>
        </w:rPr>
        <w:t xml:space="preserve"> </w:t>
      </w:r>
      <w:proofErr w:type="spellStart"/>
      <w:r w:rsidR="00113835" w:rsidRPr="00FF4584">
        <w:rPr>
          <w:rFonts w:ascii="Times New Roman" w:eastAsia="Calibri" w:hAnsi="Times New Roman" w:cs="Times New Roman"/>
          <w:sz w:val="24"/>
          <w:szCs w:val="24"/>
        </w:rPr>
        <w:t>karşılaştırılabilirlik</w:t>
      </w:r>
      <w:proofErr w:type="spellEnd"/>
      <w:r w:rsidR="00113835" w:rsidRPr="00FF4584">
        <w:rPr>
          <w:rFonts w:ascii="Times New Roman" w:eastAsia="Calibri" w:hAnsi="Times New Roman" w:cs="Times New Roman"/>
          <w:sz w:val="24"/>
          <w:szCs w:val="24"/>
        </w:rPr>
        <w:t xml:space="preserve"> çalışmasından ayrı tutulmalıdır.</w:t>
      </w:r>
    </w:p>
    <w:p w14:paraId="0EE9DA58" w14:textId="77777777" w:rsidR="0075771D" w:rsidRPr="00FF4584" w:rsidRDefault="0075771D" w:rsidP="0075771D">
      <w:pPr>
        <w:spacing w:after="0" w:line="276" w:lineRule="auto"/>
        <w:jc w:val="both"/>
        <w:rPr>
          <w:rFonts w:ascii="Times New Roman" w:eastAsia="Calibri" w:hAnsi="Times New Roman" w:cs="Times New Roman"/>
          <w:sz w:val="24"/>
          <w:szCs w:val="24"/>
        </w:rPr>
      </w:pPr>
    </w:p>
    <w:p w14:paraId="3C6A13CC" w14:textId="77777777" w:rsidR="003E7FAF" w:rsidRDefault="009035C9" w:rsidP="007577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13835" w:rsidRPr="00FF4584">
        <w:rPr>
          <w:rFonts w:ascii="Times New Roman" w:eastAsia="Calibri" w:hAnsi="Times New Roman" w:cs="Times New Roman"/>
          <w:sz w:val="24"/>
          <w:szCs w:val="24"/>
        </w:rPr>
        <w:t xml:space="preserve">) </w:t>
      </w:r>
      <w:proofErr w:type="spellStart"/>
      <w:r w:rsidR="00113835" w:rsidRPr="00FF4584">
        <w:rPr>
          <w:rFonts w:ascii="Times New Roman" w:eastAsia="Calibri" w:hAnsi="Times New Roman" w:cs="Times New Roman"/>
          <w:sz w:val="24"/>
          <w:szCs w:val="24"/>
        </w:rPr>
        <w:t>Biyob</w:t>
      </w:r>
      <w:r w:rsidR="00226294">
        <w:rPr>
          <w:rFonts w:ascii="Times New Roman" w:eastAsia="Calibri" w:hAnsi="Times New Roman" w:cs="Times New Roman"/>
          <w:sz w:val="24"/>
          <w:szCs w:val="24"/>
        </w:rPr>
        <w:t>enzer</w:t>
      </w:r>
      <w:proofErr w:type="spellEnd"/>
      <w:r w:rsidR="00226294">
        <w:rPr>
          <w:rFonts w:ascii="Times New Roman" w:eastAsia="Calibri" w:hAnsi="Times New Roman" w:cs="Times New Roman"/>
          <w:sz w:val="24"/>
          <w:szCs w:val="24"/>
        </w:rPr>
        <w:t xml:space="preserve"> tıbbi ürünün </w:t>
      </w:r>
      <w:proofErr w:type="spellStart"/>
      <w:r w:rsidR="00226294">
        <w:rPr>
          <w:rFonts w:ascii="Times New Roman" w:eastAsia="Calibri" w:hAnsi="Times New Roman" w:cs="Times New Roman"/>
          <w:sz w:val="24"/>
          <w:szCs w:val="24"/>
        </w:rPr>
        <w:t>formülasyonu</w:t>
      </w:r>
      <w:proofErr w:type="spellEnd"/>
      <w:r w:rsidR="00226294">
        <w:rPr>
          <w:rFonts w:ascii="Times New Roman" w:eastAsia="Calibri" w:hAnsi="Times New Roman" w:cs="Times New Roman"/>
          <w:sz w:val="24"/>
          <w:szCs w:val="24"/>
        </w:rPr>
        <w:t xml:space="preserve"> </w:t>
      </w:r>
      <w:r w:rsidR="00113835" w:rsidRPr="00FF4584">
        <w:rPr>
          <w:rFonts w:ascii="Times New Roman" w:eastAsia="Calibri" w:hAnsi="Times New Roman" w:cs="Times New Roman"/>
          <w:sz w:val="24"/>
          <w:szCs w:val="24"/>
        </w:rPr>
        <w:t xml:space="preserve">teknolojik gelişmeler dikkate alınarak seçilmelidir. </w:t>
      </w:r>
      <w:proofErr w:type="spellStart"/>
      <w:r w:rsidR="00113835" w:rsidRPr="00FF4584">
        <w:rPr>
          <w:rFonts w:ascii="Times New Roman" w:eastAsia="Calibri" w:hAnsi="Times New Roman" w:cs="Times New Roman"/>
          <w:sz w:val="24"/>
          <w:szCs w:val="24"/>
        </w:rPr>
        <w:t>Formülasyonun</w:t>
      </w:r>
      <w:proofErr w:type="spellEnd"/>
      <w:r w:rsidR="00113835" w:rsidRPr="00FF4584">
        <w:rPr>
          <w:rFonts w:ascii="Times New Roman" w:eastAsia="Calibri" w:hAnsi="Times New Roman" w:cs="Times New Roman"/>
          <w:sz w:val="24"/>
          <w:szCs w:val="24"/>
        </w:rPr>
        <w:t xml:space="preserve"> referans tıbbi ürünle özdeş olması zorunlu değildir. Ancak,  yapılacak ayrıntılı analizler ile </w:t>
      </w:r>
      <w:proofErr w:type="spellStart"/>
      <w:r w:rsidR="00113835" w:rsidRPr="00FF4584">
        <w:rPr>
          <w:rFonts w:ascii="Times New Roman" w:eastAsia="Calibri" w:hAnsi="Times New Roman" w:cs="Times New Roman"/>
          <w:sz w:val="24"/>
          <w:szCs w:val="24"/>
        </w:rPr>
        <w:t>formülasyonun</w:t>
      </w:r>
      <w:proofErr w:type="spellEnd"/>
      <w:r w:rsidR="00113835" w:rsidRPr="00FF4584">
        <w:rPr>
          <w:rFonts w:ascii="Times New Roman" w:eastAsia="Calibri" w:hAnsi="Times New Roman" w:cs="Times New Roman"/>
          <w:sz w:val="24"/>
          <w:szCs w:val="24"/>
        </w:rPr>
        <w:t xml:space="preserve"> uygunluğu, </w:t>
      </w:r>
      <w:proofErr w:type="spellStart"/>
      <w:r w:rsidR="00113835" w:rsidRPr="00FF4584">
        <w:rPr>
          <w:rFonts w:ascii="Times New Roman" w:eastAsia="Calibri" w:hAnsi="Times New Roman" w:cs="Times New Roman"/>
          <w:sz w:val="24"/>
          <w:szCs w:val="24"/>
        </w:rPr>
        <w:t>stabilitesi</w:t>
      </w:r>
      <w:proofErr w:type="spellEnd"/>
      <w:r w:rsidR="00113835" w:rsidRPr="00FF4584">
        <w:rPr>
          <w:rFonts w:ascii="Times New Roman" w:eastAsia="Calibri" w:hAnsi="Times New Roman" w:cs="Times New Roman"/>
          <w:sz w:val="24"/>
          <w:szCs w:val="24"/>
        </w:rPr>
        <w:t xml:space="preserve">, </w:t>
      </w:r>
      <w:proofErr w:type="spellStart"/>
      <w:r w:rsidR="00113835" w:rsidRPr="00FF4584">
        <w:rPr>
          <w:rFonts w:ascii="Times New Roman" w:eastAsia="Calibri" w:hAnsi="Times New Roman" w:cs="Times New Roman"/>
          <w:sz w:val="24"/>
          <w:szCs w:val="24"/>
        </w:rPr>
        <w:t>geçimliliği</w:t>
      </w:r>
      <w:proofErr w:type="spellEnd"/>
      <w:r w:rsidR="00113835" w:rsidRPr="00FF4584">
        <w:rPr>
          <w:rFonts w:ascii="Times New Roman" w:eastAsia="Calibri" w:hAnsi="Times New Roman" w:cs="Times New Roman"/>
          <w:sz w:val="24"/>
          <w:szCs w:val="24"/>
        </w:rPr>
        <w:t xml:space="preserve"> (yardımcı maddelerle, seyrelticilerle ve ambalaj materyalleriyle)</w:t>
      </w:r>
      <w:r w:rsidR="00797708">
        <w:rPr>
          <w:rFonts w:ascii="Times New Roman" w:eastAsia="Calibri" w:hAnsi="Times New Roman" w:cs="Times New Roman"/>
          <w:sz w:val="24"/>
          <w:szCs w:val="24"/>
        </w:rPr>
        <w:t>,</w:t>
      </w:r>
      <w:r w:rsidR="00113835" w:rsidRPr="00FF4584">
        <w:rPr>
          <w:rFonts w:ascii="Times New Roman" w:eastAsia="Calibri" w:hAnsi="Times New Roman" w:cs="Times New Roman"/>
          <w:sz w:val="24"/>
          <w:szCs w:val="24"/>
        </w:rPr>
        <w:t xml:space="preserve"> etkin maddenin bütünlüğü, etkililiği ve </w:t>
      </w:r>
      <w:proofErr w:type="spellStart"/>
      <w:r w:rsidR="00113835" w:rsidRPr="00FF4584">
        <w:rPr>
          <w:rFonts w:ascii="Times New Roman" w:eastAsia="Calibri" w:hAnsi="Times New Roman" w:cs="Times New Roman"/>
          <w:sz w:val="24"/>
          <w:szCs w:val="24"/>
        </w:rPr>
        <w:t>potensi</w:t>
      </w:r>
      <w:proofErr w:type="spellEnd"/>
      <w:r w:rsidR="00113835" w:rsidRPr="00FF4584">
        <w:rPr>
          <w:rFonts w:ascii="Times New Roman" w:eastAsia="Calibri" w:hAnsi="Times New Roman" w:cs="Times New Roman"/>
          <w:sz w:val="24"/>
          <w:szCs w:val="24"/>
        </w:rPr>
        <w:t xml:space="preserve"> gösterilmelidir. </w:t>
      </w:r>
    </w:p>
    <w:p w14:paraId="4C864AEE" w14:textId="77777777" w:rsidR="003E7FAF" w:rsidRDefault="003E7FAF" w:rsidP="0075771D">
      <w:pPr>
        <w:spacing w:after="0" w:line="276" w:lineRule="auto"/>
        <w:jc w:val="both"/>
        <w:rPr>
          <w:rFonts w:ascii="Times New Roman" w:eastAsia="Calibri" w:hAnsi="Times New Roman" w:cs="Times New Roman"/>
          <w:sz w:val="24"/>
          <w:szCs w:val="24"/>
        </w:rPr>
      </w:pPr>
    </w:p>
    <w:p w14:paraId="56F573C9" w14:textId="5AFF29E7" w:rsidR="0075771D" w:rsidRPr="00FF4584" w:rsidRDefault="003E7FAF" w:rsidP="007577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proofErr w:type="spellStart"/>
      <w:r w:rsidR="00113835" w:rsidRPr="00FF4584">
        <w:rPr>
          <w:rFonts w:ascii="Times New Roman" w:eastAsia="Calibri" w:hAnsi="Times New Roman" w:cs="Times New Roman"/>
          <w:sz w:val="24"/>
          <w:szCs w:val="24"/>
        </w:rPr>
        <w:t>B</w:t>
      </w:r>
      <w:r w:rsidR="00F8581E">
        <w:rPr>
          <w:rFonts w:ascii="Times New Roman" w:eastAsia="Calibri" w:hAnsi="Times New Roman" w:cs="Times New Roman"/>
          <w:sz w:val="24"/>
          <w:szCs w:val="24"/>
        </w:rPr>
        <w:t>iyobenzer</w:t>
      </w:r>
      <w:proofErr w:type="spellEnd"/>
      <w:r w:rsidR="00F8581E">
        <w:rPr>
          <w:rFonts w:ascii="Times New Roman" w:eastAsia="Calibri" w:hAnsi="Times New Roman" w:cs="Times New Roman"/>
          <w:sz w:val="24"/>
          <w:szCs w:val="24"/>
        </w:rPr>
        <w:t xml:space="preserve"> tıbbi ürünün; kalite açısından </w:t>
      </w:r>
      <w:proofErr w:type="spellStart"/>
      <w:r w:rsidR="00113835" w:rsidRPr="00FF4584">
        <w:rPr>
          <w:rFonts w:ascii="Times New Roman" w:eastAsia="Calibri" w:hAnsi="Times New Roman" w:cs="Times New Roman"/>
          <w:sz w:val="24"/>
          <w:szCs w:val="24"/>
        </w:rPr>
        <w:t>karşılaştırılabilirliğinin</w:t>
      </w:r>
      <w:proofErr w:type="spellEnd"/>
      <w:r w:rsidR="00113835" w:rsidRPr="00FF4584">
        <w:rPr>
          <w:rFonts w:ascii="Times New Roman" w:eastAsia="Calibri" w:hAnsi="Times New Roman" w:cs="Times New Roman"/>
          <w:sz w:val="24"/>
          <w:szCs w:val="24"/>
        </w:rPr>
        <w:t xml:space="preserve"> gösterileceği çalışmalar,  ürünün tüm geliştirme süreci boyunca ve ticari seriler üzerinde yapılmalıdır. Eğer referans tıbbi üründen farklı bir </w:t>
      </w:r>
      <w:proofErr w:type="spellStart"/>
      <w:r w:rsidR="00113835" w:rsidRPr="00FF4584">
        <w:rPr>
          <w:rFonts w:ascii="Times New Roman" w:eastAsia="Calibri" w:hAnsi="Times New Roman" w:cs="Times New Roman"/>
          <w:sz w:val="24"/>
          <w:szCs w:val="24"/>
        </w:rPr>
        <w:t>formülasyon</w:t>
      </w:r>
      <w:proofErr w:type="spellEnd"/>
      <w:r w:rsidR="00113835" w:rsidRPr="00FF4584">
        <w:rPr>
          <w:rFonts w:ascii="Times New Roman" w:eastAsia="Calibri" w:hAnsi="Times New Roman" w:cs="Times New Roman"/>
          <w:sz w:val="24"/>
          <w:szCs w:val="24"/>
        </w:rPr>
        <w:t xml:space="preserve"> ve/veya kap/kapak sistemi seçildiyse (ürünle temas eden herhangi bir materyal varsa) bunun </w:t>
      </w:r>
      <w:proofErr w:type="spellStart"/>
      <w:r w:rsidR="00113835" w:rsidRPr="00FF4584">
        <w:rPr>
          <w:rFonts w:ascii="Times New Roman" w:eastAsia="Calibri" w:hAnsi="Times New Roman" w:cs="Times New Roman"/>
          <w:sz w:val="24"/>
          <w:szCs w:val="24"/>
        </w:rPr>
        <w:t>biyobenzer</w:t>
      </w:r>
      <w:proofErr w:type="spellEnd"/>
      <w:r w:rsidR="00113835" w:rsidRPr="00FF4584">
        <w:rPr>
          <w:rFonts w:ascii="Times New Roman" w:eastAsia="Calibri" w:hAnsi="Times New Roman" w:cs="Times New Roman"/>
          <w:sz w:val="24"/>
          <w:szCs w:val="24"/>
        </w:rPr>
        <w:t xml:space="preserve"> tıbbi ürünün etkililiği ve güvenlili</w:t>
      </w:r>
      <w:r w:rsidR="00AD4BF9">
        <w:rPr>
          <w:rFonts w:ascii="Times New Roman" w:eastAsia="Calibri" w:hAnsi="Times New Roman" w:cs="Times New Roman"/>
          <w:sz w:val="24"/>
          <w:szCs w:val="24"/>
        </w:rPr>
        <w:t xml:space="preserve">ği üzerinde etkisi olmadığı </w:t>
      </w:r>
      <w:r w:rsidR="00113835" w:rsidRPr="00FF4584">
        <w:rPr>
          <w:rFonts w:ascii="Times New Roman" w:eastAsia="Calibri" w:hAnsi="Times New Roman" w:cs="Times New Roman"/>
          <w:sz w:val="24"/>
          <w:szCs w:val="24"/>
        </w:rPr>
        <w:t xml:space="preserve">doğrulanmalıdır. </w:t>
      </w:r>
      <w:proofErr w:type="spellStart"/>
      <w:r w:rsidR="00113835" w:rsidRPr="005A2CEC">
        <w:rPr>
          <w:rFonts w:ascii="Times New Roman" w:eastAsia="Calibri" w:hAnsi="Times New Roman" w:cs="Times New Roman"/>
          <w:sz w:val="24"/>
          <w:szCs w:val="24"/>
        </w:rPr>
        <w:t>Biyobenzer</w:t>
      </w:r>
      <w:proofErr w:type="spellEnd"/>
      <w:r w:rsidR="00113835" w:rsidRPr="005A2CEC">
        <w:rPr>
          <w:rFonts w:ascii="Times New Roman" w:eastAsia="Calibri" w:hAnsi="Times New Roman" w:cs="Times New Roman"/>
          <w:sz w:val="24"/>
          <w:szCs w:val="24"/>
        </w:rPr>
        <w:t xml:space="preserve"> </w:t>
      </w:r>
      <w:proofErr w:type="gramStart"/>
      <w:r w:rsidR="00113835" w:rsidRPr="005A2CEC">
        <w:rPr>
          <w:rFonts w:ascii="Times New Roman" w:eastAsia="Calibri" w:hAnsi="Times New Roman" w:cs="Times New Roman"/>
          <w:sz w:val="24"/>
          <w:szCs w:val="24"/>
        </w:rPr>
        <w:t>tıbbi  ürün</w:t>
      </w:r>
      <w:proofErr w:type="gramEnd"/>
      <w:r w:rsidR="00113835" w:rsidRPr="005A2CEC">
        <w:rPr>
          <w:rFonts w:ascii="Times New Roman" w:eastAsia="Calibri" w:hAnsi="Times New Roman" w:cs="Times New Roman"/>
          <w:sz w:val="24"/>
          <w:szCs w:val="24"/>
        </w:rPr>
        <w:t xml:space="preserve"> bu kılavuza uygun şekilde ruhsatlanmış ise, </w:t>
      </w:r>
      <w:proofErr w:type="spellStart"/>
      <w:r w:rsidR="00113835" w:rsidRPr="005A2CEC">
        <w:rPr>
          <w:rFonts w:ascii="Times New Roman" w:eastAsia="Calibri" w:hAnsi="Times New Roman" w:cs="Times New Roman"/>
          <w:sz w:val="24"/>
          <w:szCs w:val="24"/>
        </w:rPr>
        <w:t>biyobenzerliğinin</w:t>
      </w:r>
      <w:proofErr w:type="spellEnd"/>
      <w:r w:rsidR="00113835" w:rsidRPr="005A2CEC">
        <w:rPr>
          <w:rFonts w:ascii="Times New Roman" w:eastAsia="Calibri" w:hAnsi="Times New Roman" w:cs="Times New Roman"/>
          <w:sz w:val="24"/>
          <w:szCs w:val="24"/>
        </w:rPr>
        <w:t xml:space="preserve"> tekrar gösterilmesi zorunlu değildir.</w:t>
      </w:r>
      <w:r w:rsidR="0075771D" w:rsidRPr="005A2CEC">
        <w:rPr>
          <w:rFonts w:ascii="Times New Roman" w:eastAsia="Calibri" w:hAnsi="Times New Roman" w:cs="Times New Roman"/>
          <w:sz w:val="24"/>
          <w:szCs w:val="24"/>
        </w:rPr>
        <w:t xml:space="preserve"> </w:t>
      </w:r>
    </w:p>
    <w:p w14:paraId="2167D25E" w14:textId="77777777" w:rsidR="0075771D" w:rsidRPr="00FF4584" w:rsidRDefault="0075771D" w:rsidP="0075771D">
      <w:pPr>
        <w:spacing w:after="0" w:line="276" w:lineRule="auto"/>
        <w:jc w:val="both"/>
        <w:rPr>
          <w:rFonts w:ascii="Times New Roman" w:eastAsia="Calibri" w:hAnsi="Times New Roman" w:cs="Times New Roman"/>
          <w:sz w:val="24"/>
          <w:szCs w:val="24"/>
        </w:rPr>
      </w:pPr>
    </w:p>
    <w:p w14:paraId="26FE2CA7" w14:textId="77777777" w:rsidR="0075771D" w:rsidRPr="00FF4584" w:rsidRDefault="004A52D3" w:rsidP="007577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113835" w:rsidRPr="00FF4584">
        <w:rPr>
          <w:rFonts w:ascii="Times New Roman" w:eastAsia="Calibri" w:hAnsi="Times New Roman" w:cs="Times New Roman"/>
          <w:sz w:val="24"/>
          <w:szCs w:val="24"/>
        </w:rPr>
        <w:t xml:space="preserve">) </w:t>
      </w:r>
      <w:proofErr w:type="spellStart"/>
      <w:r w:rsidR="00113835" w:rsidRPr="00FF4584">
        <w:rPr>
          <w:rFonts w:ascii="Times New Roman" w:eastAsia="Calibri" w:hAnsi="Times New Roman" w:cs="Times New Roman"/>
          <w:sz w:val="24"/>
          <w:szCs w:val="24"/>
        </w:rPr>
        <w:t>Biyobenzer</w:t>
      </w:r>
      <w:proofErr w:type="spellEnd"/>
      <w:r w:rsidR="00113835" w:rsidRPr="00FF4584">
        <w:rPr>
          <w:rFonts w:ascii="Times New Roman" w:eastAsia="Calibri" w:hAnsi="Times New Roman" w:cs="Times New Roman"/>
          <w:sz w:val="24"/>
          <w:szCs w:val="24"/>
        </w:rPr>
        <w:t xml:space="preserve"> tıbbi ürünün </w:t>
      </w:r>
      <w:proofErr w:type="spellStart"/>
      <w:r w:rsidR="00113835" w:rsidRPr="00FF4584">
        <w:rPr>
          <w:rFonts w:ascii="Times New Roman" w:eastAsia="Calibri" w:hAnsi="Times New Roman" w:cs="Times New Roman"/>
          <w:sz w:val="24"/>
          <w:szCs w:val="24"/>
        </w:rPr>
        <w:t>stabilitesi</w:t>
      </w:r>
      <w:proofErr w:type="spellEnd"/>
      <w:r w:rsidR="00113835" w:rsidRPr="00FF4584">
        <w:rPr>
          <w:rFonts w:ascii="Times New Roman" w:eastAsia="Calibri" w:hAnsi="Times New Roman" w:cs="Times New Roman"/>
          <w:sz w:val="24"/>
          <w:szCs w:val="24"/>
        </w:rPr>
        <w:t xml:space="preserve"> ilgili kılavuzlara uygun olarak belirlenmelidir. </w:t>
      </w:r>
      <w:proofErr w:type="spellStart"/>
      <w:r w:rsidR="00113835" w:rsidRPr="00FF4584">
        <w:rPr>
          <w:rFonts w:ascii="Times New Roman" w:eastAsia="Calibri" w:hAnsi="Times New Roman" w:cs="Times New Roman"/>
          <w:sz w:val="24"/>
          <w:szCs w:val="24"/>
        </w:rPr>
        <w:t>Stabilitenin</w:t>
      </w:r>
      <w:proofErr w:type="spellEnd"/>
      <w:r w:rsidR="00113835" w:rsidRPr="00FF4584">
        <w:rPr>
          <w:rFonts w:ascii="Times New Roman" w:eastAsia="Calibri" w:hAnsi="Times New Roman" w:cs="Times New Roman"/>
          <w:sz w:val="24"/>
          <w:szCs w:val="24"/>
        </w:rPr>
        <w:t xml:space="preserve"> uygunluğu çalışmalardan sağlanan veriler ile kanıtlanmalıdır. Referans tıbbi üründen </w:t>
      </w:r>
      <w:proofErr w:type="spellStart"/>
      <w:r w:rsidR="00113835" w:rsidRPr="00FF4584">
        <w:rPr>
          <w:rFonts w:ascii="Times New Roman" w:eastAsia="Calibri" w:hAnsi="Times New Roman" w:cs="Times New Roman"/>
          <w:sz w:val="24"/>
          <w:szCs w:val="24"/>
        </w:rPr>
        <w:t>ekstrapolasyonla</w:t>
      </w:r>
      <w:proofErr w:type="spellEnd"/>
      <w:r w:rsidR="00113835" w:rsidRPr="00FF4584">
        <w:rPr>
          <w:rFonts w:ascii="Times New Roman" w:eastAsia="Calibri" w:hAnsi="Times New Roman" w:cs="Times New Roman"/>
          <w:sz w:val="24"/>
          <w:szCs w:val="24"/>
        </w:rPr>
        <w:t xml:space="preserve"> </w:t>
      </w:r>
      <w:proofErr w:type="spellStart"/>
      <w:r w:rsidR="00113835" w:rsidRPr="00FF4584">
        <w:rPr>
          <w:rFonts w:ascii="Times New Roman" w:eastAsia="Calibri" w:hAnsi="Times New Roman" w:cs="Times New Roman"/>
          <w:sz w:val="24"/>
          <w:szCs w:val="24"/>
        </w:rPr>
        <w:t>stabilite</w:t>
      </w:r>
      <w:proofErr w:type="spellEnd"/>
      <w:r w:rsidR="00113835" w:rsidRPr="00FF4584">
        <w:rPr>
          <w:rFonts w:ascii="Times New Roman" w:eastAsia="Calibri" w:hAnsi="Times New Roman" w:cs="Times New Roman"/>
          <w:sz w:val="24"/>
          <w:szCs w:val="24"/>
        </w:rPr>
        <w:t xml:space="preserve"> çalışması yapılamaz.</w:t>
      </w:r>
    </w:p>
    <w:p w14:paraId="0003C79B" w14:textId="77777777" w:rsidR="0075771D" w:rsidRPr="00FF4584" w:rsidRDefault="0075771D" w:rsidP="0075771D">
      <w:pPr>
        <w:spacing w:after="0" w:line="276" w:lineRule="auto"/>
        <w:jc w:val="both"/>
        <w:rPr>
          <w:rFonts w:ascii="Times New Roman" w:eastAsia="Calibri" w:hAnsi="Times New Roman" w:cs="Times New Roman"/>
          <w:sz w:val="24"/>
          <w:szCs w:val="24"/>
        </w:rPr>
      </w:pPr>
    </w:p>
    <w:p w14:paraId="2C0D3CFB" w14:textId="77777777" w:rsidR="00773E42" w:rsidRPr="00FF4584" w:rsidRDefault="004A52D3" w:rsidP="00773E4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113835" w:rsidRPr="00FF4584">
        <w:rPr>
          <w:rFonts w:ascii="Times New Roman" w:eastAsia="Calibri" w:hAnsi="Times New Roman" w:cs="Times New Roman"/>
          <w:sz w:val="24"/>
          <w:szCs w:val="24"/>
        </w:rPr>
        <w:t xml:space="preserve">) Her </w:t>
      </w:r>
      <w:proofErr w:type="spellStart"/>
      <w:r w:rsidR="00113835" w:rsidRPr="00FF4584">
        <w:rPr>
          <w:rFonts w:ascii="Times New Roman" w:eastAsia="Calibri" w:hAnsi="Times New Roman" w:cs="Times New Roman"/>
          <w:sz w:val="24"/>
          <w:szCs w:val="24"/>
        </w:rPr>
        <w:t>biyobenzer</w:t>
      </w:r>
      <w:proofErr w:type="spellEnd"/>
      <w:r w:rsidR="00113835" w:rsidRPr="00FF4584">
        <w:rPr>
          <w:rFonts w:ascii="Times New Roman" w:eastAsia="Calibri" w:hAnsi="Times New Roman" w:cs="Times New Roman"/>
          <w:sz w:val="24"/>
          <w:szCs w:val="24"/>
        </w:rPr>
        <w:t xml:space="preserve"> tıbbi ürünün gelişim süreci o ürüne özeldir. Ürün geliştirme sırasında, üretim sürecinde değişiklikler yapıldığı zaman (etkin madde ve/veya bitmiş ürün) </w:t>
      </w:r>
      <w:proofErr w:type="spellStart"/>
      <w:r w:rsidR="00113835" w:rsidRPr="00FF4584">
        <w:rPr>
          <w:rFonts w:ascii="Times New Roman" w:eastAsia="Calibri" w:hAnsi="Times New Roman" w:cs="Times New Roman"/>
          <w:sz w:val="24"/>
          <w:szCs w:val="24"/>
        </w:rPr>
        <w:t>karşılaştırılabilirlik</w:t>
      </w:r>
      <w:proofErr w:type="spellEnd"/>
      <w:r w:rsidR="00113835" w:rsidRPr="00FF4584">
        <w:rPr>
          <w:rFonts w:ascii="Times New Roman" w:eastAsia="Calibri" w:hAnsi="Times New Roman" w:cs="Times New Roman"/>
          <w:sz w:val="24"/>
          <w:szCs w:val="24"/>
        </w:rPr>
        <w:t xml:space="preserve"> çalışması yapılmalıdır</w:t>
      </w:r>
      <w:r w:rsidR="00773E42" w:rsidRPr="00FF4584">
        <w:rPr>
          <w:rFonts w:ascii="Times New Roman" w:eastAsia="Calibri" w:hAnsi="Times New Roman" w:cs="Times New Roman"/>
          <w:sz w:val="24"/>
          <w:szCs w:val="24"/>
        </w:rPr>
        <w:t xml:space="preserve"> ve</w:t>
      </w:r>
      <w:r w:rsidR="00773E42">
        <w:rPr>
          <w:rFonts w:ascii="Times New Roman" w:eastAsia="Calibri" w:hAnsi="Times New Roman" w:cs="Times New Roman"/>
          <w:sz w:val="24"/>
          <w:szCs w:val="24"/>
        </w:rPr>
        <w:t xml:space="preserve"> bu çalışmalar</w:t>
      </w:r>
      <w:r w:rsidR="00773E42" w:rsidRPr="00FF4584">
        <w:rPr>
          <w:rFonts w:ascii="Times New Roman" w:eastAsia="Calibri" w:hAnsi="Times New Roman" w:cs="Times New Roman"/>
          <w:sz w:val="24"/>
          <w:szCs w:val="24"/>
        </w:rPr>
        <w:t xml:space="preserve"> </w:t>
      </w:r>
      <w:proofErr w:type="spellStart"/>
      <w:r w:rsidR="00773E42">
        <w:rPr>
          <w:rFonts w:ascii="Times New Roman" w:eastAsia="Calibri" w:hAnsi="Times New Roman" w:cs="Times New Roman"/>
          <w:sz w:val="24"/>
          <w:szCs w:val="24"/>
        </w:rPr>
        <w:t>biyobenzer</w:t>
      </w:r>
      <w:proofErr w:type="spellEnd"/>
      <w:r w:rsidR="00773E42">
        <w:rPr>
          <w:rFonts w:ascii="Times New Roman" w:eastAsia="Calibri" w:hAnsi="Times New Roman" w:cs="Times New Roman"/>
          <w:sz w:val="24"/>
          <w:szCs w:val="24"/>
        </w:rPr>
        <w:t xml:space="preserve"> </w:t>
      </w:r>
      <w:proofErr w:type="spellStart"/>
      <w:r w:rsidR="00773E42" w:rsidRPr="00FF4584">
        <w:rPr>
          <w:rFonts w:ascii="Times New Roman" w:eastAsia="Calibri" w:hAnsi="Times New Roman" w:cs="Times New Roman"/>
          <w:sz w:val="24"/>
          <w:szCs w:val="24"/>
        </w:rPr>
        <w:t>karşılaştırılabilirlik</w:t>
      </w:r>
      <w:proofErr w:type="spellEnd"/>
      <w:r w:rsidR="00773E42" w:rsidRPr="00FF4584">
        <w:rPr>
          <w:rFonts w:ascii="Times New Roman" w:eastAsia="Calibri" w:hAnsi="Times New Roman" w:cs="Times New Roman"/>
          <w:sz w:val="24"/>
          <w:szCs w:val="24"/>
        </w:rPr>
        <w:t xml:space="preserve"> çalışmasından ayrı tutulmalıdır.</w:t>
      </w:r>
    </w:p>
    <w:p w14:paraId="12E94174" w14:textId="77777777" w:rsidR="0075771D" w:rsidRDefault="0075771D" w:rsidP="0075771D">
      <w:pPr>
        <w:spacing w:line="276" w:lineRule="auto"/>
        <w:jc w:val="both"/>
        <w:rPr>
          <w:rFonts w:ascii="Times New Roman" w:hAnsi="Times New Roman" w:cs="Times New Roman"/>
          <w:sz w:val="24"/>
          <w:szCs w:val="24"/>
        </w:rPr>
      </w:pPr>
    </w:p>
    <w:p w14:paraId="08CBCE1A" w14:textId="77777777" w:rsidR="00290964" w:rsidRDefault="00290964" w:rsidP="0075771D">
      <w:pPr>
        <w:spacing w:line="276" w:lineRule="auto"/>
        <w:jc w:val="both"/>
        <w:rPr>
          <w:rFonts w:ascii="Times New Roman" w:hAnsi="Times New Roman" w:cs="Times New Roman"/>
          <w:sz w:val="24"/>
          <w:szCs w:val="24"/>
        </w:rPr>
      </w:pPr>
    </w:p>
    <w:p w14:paraId="1980BF65" w14:textId="77777777" w:rsidR="0075771D" w:rsidRPr="001F447B" w:rsidRDefault="00113835" w:rsidP="0075771D">
      <w:pPr>
        <w:spacing w:line="276" w:lineRule="auto"/>
        <w:jc w:val="both"/>
        <w:rPr>
          <w:rFonts w:ascii="Times New Roman" w:eastAsia="Calibri" w:hAnsi="Times New Roman" w:cs="Times New Roman"/>
          <w:b/>
          <w:sz w:val="24"/>
          <w:szCs w:val="24"/>
        </w:rPr>
      </w:pPr>
      <w:r w:rsidRPr="00EA32EB">
        <w:rPr>
          <w:rFonts w:ascii="Times New Roman" w:eastAsia="Calibri" w:hAnsi="Times New Roman" w:cs="Times New Roman"/>
          <w:b/>
          <w:sz w:val="24"/>
          <w:szCs w:val="24"/>
        </w:rPr>
        <w:lastRenderedPageBreak/>
        <w:t xml:space="preserve">Referans Tıbbi Ürün </w:t>
      </w:r>
    </w:p>
    <w:p w14:paraId="7B3B4304" w14:textId="77777777" w:rsidR="0075771D" w:rsidRPr="00FF4584" w:rsidRDefault="0075771D" w:rsidP="0075771D">
      <w:pPr>
        <w:spacing w:after="0" w:line="276" w:lineRule="auto"/>
        <w:jc w:val="both"/>
        <w:rPr>
          <w:rFonts w:ascii="Times New Roman" w:eastAsia="Calibri" w:hAnsi="Times New Roman" w:cs="Times New Roman"/>
          <w:sz w:val="24"/>
          <w:szCs w:val="24"/>
        </w:rPr>
      </w:pPr>
      <w:r w:rsidRPr="00744538">
        <w:rPr>
          <w:rFonts w:ascii="Times New Roman" w:eastAsia="Calibri" w:hAnsi="Times New Roman" w:cs="Times New Roman"/>
          <w:b/>
          <w:sz w:val="24"/>
          <w:szCs w:val="24"/>
        </w:rPr>
        <w:t xml:space="preserve">MADDE </w:t>
      </w:r>
      <w:r>
        <w:rPr>
          <w:rFonts w:ascii="Times New Roman" w:eastAsia="Calibri" w:hAnsi="Times New Roman" w:cs="Times New Roman"/>
          <w:b/>
          <w:sz w:val="24"/>
          <w:szCs w:val="24"/>
        </w:rPr>
        <w:t>9 -</w:t>
      </w:r>
      <w:r w:rsidRPr="00744538">
        <w:rPr>
          <w:rFonts w:ascii="Times New Roman" w:eastAsia="Calibri" w:hAnsi="Times New Roman" w:cs="Times New Roman"/>
          <w:b/>
          <w:sz w:val="24"/>
          <w:szCs w:val="24"/>
        </w:rPr>
        <w:t xml:space="preserve">  </w:t>
      </w:r>
      <w:r w:rsidRPr="008C24BD">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sidRPr="00FF4584">
        <w:rPr>
          <w:rFonts w:ascii="Times New Roman" w:eastAsia="Calibri" w:hAnsi="Times New Roman" w:cs="Times New Roman"/>
          <w:sz w:val="24"/>
          <w:szCs w:val="24"/>
        </w:rPr>
        <w:t xml:space="preserve">Herhangi bir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tıbbi ürün referans tıbbi ürün olamaz. </w:t>
      </w:r>
    </w:p>
    <w:p w14:paraId="2B86F74A" w14:textId="77777777" w:rsidR="0075771D" w:rsidRPr="00FF4584" w:rsidRDefault="0075304C" w:rsidP="0075771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R</w:t>
      </w:r>
      <w:r w:rsidR="00BD6081">
        <w:rPr>
          <w:rFonts w:ascii="Times New Roman" w:eastAsia="Calibri" w:hAnsi="Times New Roman" w:cs="Times New Roman"/>
          <w:sz w:val="24"/>
          <w:szCs w:val="24"/>
        </w:rPr>
        <w:t xml:space="preserve">eferans tıbbi </w:t>
      </w:r>
      <w:r>
        <w:rPr>
          <w:rFonts w:ascii="Times New Roman" w:eastAsia="Calibri" w:hAnsi="Times New Roman" w:cs="Times New Roman"/>
          <w:sz w:val="24"/>
          <w:szCs w:val="24"/>
        </w:rPr>
        <w:t xml:space="preserve">ürünün </w:t>
      </w:r>
      <w:r w:rsidR="0075771D" w:rsidRPr="00FF4584">
        <w:rPr>
          <w:rFonts w:ascii="Times New Roman" w:eastAsia="Calibri" w:hAnsi="Times New Roman" w:cs="Times New Roman"/>
          <w:sz w:val="24"/>
          <w:szCs w:val="24"/>
        </w:rPr>
        <w:t xml:space="preserve">tam </w:t>
      </w:r>
      <w:r>
        <w:rPr>
          <w:rFonts w:ascii="Times New Roman" w:eastAsia="Calibri" w:hAnsi="Times New Roman" w:cs="Times New Roman"/>
          <w:sz w:val="24"/>
          <w:szCs w:val="24"/>
        </w:rPr>
        <w:t>dosya ile ruhsatlandır</w:t>
      </w:r>
      <w:r w:rsidR="00814480">
        <w:rPr>
          <w:rFonts w:ascii="Times New Roman" w:eastAsia="Calibri" w:hAnsi="Times New Roman" w:cs="Times New Roman"/>
          <w:sz w:val="24"/>
          <w:szCs w:val="24"/>
        </w:rPr>
        <w:t>ılmış olması gereklidir.</w:t>
      </w:r>
    </w:p>
    <w:p w14:paraId="73C9934B" w14:textId="77777777" w:rsidR="0075771D" w:rsidRPr="00FF4584" w:rsidRDefault="0075771D" w:rsidP="0075771D">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(3) Karşılaştırma çalışmasında kullanılan referans tıbbi ürünün marka ismi, </w:t>
      </w:r>
      <w:proofErr w:type="spellStart"/>
      <w:r w:rsidRPr="00FF4584">
        <w:rPr>
          <w:rFonts w:ascii="Times New Roman" w:eastAsia="Calibri" w:hAnsi="Times New Roman" w:cs="Times New Roman"/>
          <w:sz w:val="24"/>
          <w:szCs w:val="24"/>
        </w:rPr>
        <w:t>farmasötik</w:t>
      </w:r>
      <w:proofErr w:type="spellEnd"/>
      <w:r w:rsidRPr="00FF4584">
        <w:rPr>
          <w:rFonts w:ascii="Times New Roman" w:eastAsia="Calibri" w:hAnsi="Times New Roman" w:cs="Times New Roman"/>
          <w:sz w:val="24"/>
          <w:szCs w:val="24"/>
        </w:rPr>
        <w:t xml:space="preserve"> formu, </w:t>
      </w:r>
      <w:proofErr w:type="spellStart"/>
      <w:r w:rsidRPr="00FF4584">
        <w:rPr>
          <w:rFonts w:ascii="Times New Roman" w:eastAsia="Calibri" w:hAnsi="Times New Roman" w:cs="Times New Roman"/>
          <w:sz w:val="24"/>
          <w:szCs w:val="24"/>
        </w:rPr>
        <w:t>formülasyonu</w:t>
      </w:r>
      <w:proofErr w:type="spellEnd"/>
      <w:r w:rsidRPr="00FF4584">
        <w:rPr>
          <w:rFonts w:ascii="Times New Roman" w:eastAsia="Calibri" w:hAnsi="Times New Roman" w:cs="Times New Roman"/>
          <w:sz w:val="24"/>
          <w:szCs w:val="24"/>
        </w:rPr>
        <w:t xml:space="preserve">, üretim tarihi ve son kullanma tarihi açıkça belirtilmelidir. </w:t>
      </w:r>
    </w:p>
    <w:p w14:paraId="1724940B" w14:textId="77777777" w:rsidR="0075771D" w:rsidRPr="00FF4584" w:rsidRDefault="0075771D" w:rsidP="0075771D">
      <w:pPr>
        <w:spacing w:after="0" w:line="276" w:lineRule="auto"/>
        <w:jc w:val="both"/>
        <w:rPr>
          <w:rFonts w:ascii="Times New Roman" w:eastAsia="Calibri" w:hAnsi="Times New Roman" w:cs="Times New Roman"/>
          <w:sz w:val="24"/>
          <w:szCs w:val="24"/>
        </w:rPr>
      </w:pPr>
    </w:p>
    <w:p w14:paraId="71501DC5" w14:textId="77777777" w:rsidR="0075771D" w:rsidRDefault="0075771D" w:rsidP="00F1594D">
      <w:pPr>
        <w:pStyle w:val="ListeParagraf"/>
        <w:numPr>
          <w:ilvl w:val="0"/>
          <w:numId w:val="43"/>
        </w:numPr>
        <w:spacing w:after="0" w:line="276" w:lineRule="auto"/>
        <w:jc w:val="both"/>
        <w:rPr>
          <w:rFonts w:ascii="Times New Roman" w:eastAsia="Calibri" w:hAnsi="Times New Roman" w:cs="Times New Roman"/>
          <w:sz w:val="24"/>
          <w:szCs w:val="24"/>
        </w:rPr>
      </w:pPr>
      <w:proofErr w:type="spellStart"/>
      <w:r w:rsidRPr="00F1594D">
        <w:rPr>
          <w:rFonts w:ascii="Times New Roman" w:eastAsia="Calibri" w:hAnsi="Times New Roman" w:cs="Times New Roman"/>
          <w:sz w:val="24"/>
          <w:szCs w:val="24"/>
        </w:rPr>
        <w:t>Farmakopelerde</w:t>
      </w:r>
      <w:proofErr w:type="spellEnd"/>
      <w:r w:rsidRPr="00F1594D">
        <w:rPr>
          <w:rFonts w:ascii="Times New Roman" w:eastAsia="Calibri" w:hAnsi="Times New Roman" w:cs="Times New Roman"/>
          <w:sz w:val="24"/>
          <w:szCs w:val="24"/>
        </w:rPr>
        <w:t xml:space="preserve"> yer alan referans standartlar, referans tıbbi ürün olarak kullanılamaz.</w:t>
      </w:r>
    </w:p>
    <w:p w14:paraId="2992FC1D" w14:textId="77777777" w:rsidR="0075771D" w:rsidRPr="00F1594D" w:rsidRDefault="0075771D" w:rsidP="00F1594D">
      <w:pPr>
        <w:pStyle w:val="ListeParagraf"/>
        <w:numPr>
          <w:ilvl w:val="0"/>
          <w:numId w:val="43"/>
        </w:numPr>
        <w:spacing w:after="0" w:line="276" w:lineRule="auto"/>
        <w:jc w:val="both"/>
        <w:rPr>
          <w:rFonts w:ascii="Times New Roman" w:eastAsia="Calibri" w:hAnsi="Times New Roman" w:cs="Times New Roman"/>
          <w:sz w:val="24"/>
          <w:szCs w:val="24"/>
        </w:rPr>
      </w:pPr>
      <w:r w:rsidRPr="00F1594D">
        <w:rPr>
          <w:rFonts w:ascii="Times New Roman" w:eastAsia="Calibri" w:hAnsi="Times New Roman" w:cs="Times New Roman"/>
          <w:sz w:val="24"/>
          <w:szCs w:val="24"/>
        </w:rPr>
        <w:t xml:space="preserve">Referans tıbbi ürünün farklı </w:t>
      </w:r>
      <w:proofErr w:type="spellStart"/>
      <w:r w:rsidRPr="00F1594D">
        <w:rPr>
          <w:rFonts w:ascii="Times New Roman" w:eastAsia="Calibri" w:hAnsi="Times New Roman" w:cs="Times New Roman"/>
          <w:sz w:val="24"/>
          <w:szCs w:val="24"/>
        </w:rPr>
        <w:t>yitilikleri</w:t>
      </w:r>
      <w:proofErr w:type="spellEnd"/>
      <w:r w:rsidRPr="00F1594D">
        <w:rPr>
          <w:rFonts w:ascii="Times New Roman" w:eastAsia="Calibri" w:hAnsi="Times New Roman" w:cs="Times New Roman"/>
          <w:sz w:val="24"/>
          <w:szCs w:val="24"/>
        </w:rPr>
        <w:t xml:space="preserve"> var ise, karşılaştırma yapılacak </w:t>
      </w:r>
      <w:proofErr w:type="spellStart"/>
      <w:proofErr w:type="gramStart"/>
      <w:r w:rsidRPr="00F1594D">
        <w:rPr>
          <w:rFonts w:ascii="Times New Roman" w:eastAsia="Calibri" w:hAnsi="Times New Roman" w:cs="Times New Roman"/>
          <w:sz w:val="24"/>
          <w:szCs w:val="24"/>
        </w:rPr>
        <w:t>biyobenzer</w:t>
      </w:r>
      <w:proofErr w:type="spellEnd"/>
      <w:r w:rsidRPr="00F1594D">
        <w:rPr>
          <w:rFonts w:ascii="Times New Roman" w:eastAsia="Calibri" w:hAnsi="Times New Roman" w:cs="Times New Roman"/>
          <w:sz w:val="24"/>
          <w:szCs w:val="24"/>
        </w:rPr>
        <w:t xml:space="preserve">  tıbbi</w:t>
      </w:r>
      <w:proofErr w:type="gramEnd"/>
      <w:r w:rsidRPr="00F1594D">
        <w:rPr>
          <w:rFonts w:ascii="Times New Roman" w:eastAsia="Calibri" w:hAnsi="Times New Roman" w:cs="Times New Roman"/>
          <w:sz w:val="24"/>
          <w:szCs w:val="24"/>
        </w:rPr>
        <w:t xml:space="preserve"> ürün ile aynı </w:t>
      </w:r>
      <w:proofErr w:type="spellStart"/>
      <w:r w:rsidRPr="00F1594D">
        <w:rPr>
          <w:rFonts w:ascii="Times New Roman" w:eastAsia="Calibri" w:hAnsi="Times New Roman" w:cs="Times New Roman"/>
          <w:sz w:val="24"/>
          <w:szCs w:val="24"/>
        </w:rPr>
        <w:t>yitilik</w:t>
      </w:r>
      <w:proofErr w:type="spellEnd"/>
      <w:r w:rsidRPr="00F1594D">
        <w:rPr>
          <w:rFonts w:ascii="Times New Roman" w:eastAsia="Calibri" w:hAnsi="Times New Roman" w:cs="Times New Roman"/>
          <w:sz w:val="24"/>
          <w:szCs w:val="24"/>
        </w:rPr>
        <w:t xml:space="preserve"> seçilmelidir.</w:t>
      </w:r>
      <w:r w:rsidR="001E7865" w:rsidRPr="00F1594D">
        <w:rPr>
          <w:rFonts w:ascii="Times New Roman" w:eastAsia="Calibri" w:hAnsi="Times New Roman" w:cs="Times New Roman"/>
          <w:sz w:val="24"/>
          <w:szCs w:val="24"/>
        </w:rPr>
        <w:t xml:space="preserve"> </w:t>
      </w:r>
    </w:p>
    <w:p w14:paraId="27B65785" w14:textId="77777777" w:rsidR="00D8326A" w:rsidRPr="00744538" w:rsidRDefault="00D8326A" w:rsidP="00327D21">
      <w:pPr>
        <w:spacing w:after="0" w:line="276" w:lineRule="auto"/>
        <w:rPr>
          <w:rFonts w:ascii="Times New Roman" w:eastAsia="Calibri" w:hAnsi="Times New Roman" w:cs="Times New Roman"/>
          <w:b/>
          <w:sz w:val="24"/>
          <w:szCs w:val="24"/>
        </w:rPr>
      </w:pPr>
    </w:p>
    <w:p w14:paraId="19483EBE" w14:textId="77777777" w:rsidR="00DC471C" w:rsidRDefault="00DC471C" w:rsidP="00327D21">
      <w:pPr>
        <w:spacing w:line="276" w:lineRule="auto"/>
        <w:jc w:val="both"/>
        <w:rPr>
          <w:rFonts w:ascii="Times New Roman" w:eastAsia="Calibri" w:hAnsi="Times New Roman" w:cs="Times New Roman"/>
          <w:b/>
          <w:sz w:val="24"/>
          <w:szCs w:val="24"/>
        </w:rPr>
      </w:pPr>
      <w:proofErr w:type="spellStart"/>
      <w:r w:rsidRPr="00E63F4E">
        <w:rPr>
          <w:rFonts w:ascii="Times New Roman" w:eastAsia="Calibri" w:hAnsi="Times New Roman" w:cs="Times New Roman"/>
          <w:b/>
          <w:sz w:val="24"/>
          <w:szCs w:val="24"/>
        </w:rPr>
        <w:t>Biyobenzer</w:t>
      </w:r>
      <w:proofErr w:type="spellEnd"/>
      <w:r w:rsidRPr="00E63F4E">
        <w:rPr>
          <w:rFonts w:ascii="Times New Roman" w:eastAsia="Calibri" w:hAnsi="Times New Roman" w:cs="Times New Roman"/>
          <w:b/>
          <w:sz w:val="24"/>
          <w:szCs w:val="24"/>
        </w:rPr>
        <w:t xml:space="preserve"> </w:t>
      </w:r>
      <w:proofErr w:type="spellStart"/>
      <w:r w:rsidRPr="00E63F4E">
        <w:rPr>
          <w:rFonts w:ascii="Times New Roman" w:eastAsia="Calibri" w:hAnsi="Times New Roman" w:cs="Times New Roman"/>
          <w:b/>
          <w:sz w:val="24"/>
          <w:szCs w:val="24"/>
        </w:rPr>
        <w:t>Karşılaştırılabilirlik</w:t>
      </w:r>
      <w:proofErr w:type="spellEnd"/>
      <w:r w:rsidRPr="00E63F4E">
        <w:rPr>
          <w:rFonts w:ascii="Times New Roman" w:eastAsia="Calibri" w:hAnsi="Times New Roman" w:cs="Times New Roman"/>
          <w:b/>
          <w:sz w:val="24"/>
          <w:szCs w:val="24"/>
        </w:rPr>
        <w:t xml:space="preserve"> Çalışması</w:t>
      </w:r>
    </w:p>
    <w:p w14:paraId="5266F305" w14:textId="358213BC" w:rsidR="000E2BC1" w:rsidRDefault="00BE2D37" w:rsidP="00BE2D37">
      <w:pPr>
        <w:spacing w:after="0" w:line="276" w:lineRule="auto"/>
        <w:jc w:val="both"/>
        <w:rPr>
          <w:rFonts w:ascii="Times New Roman" w:eastAsia="Calibri" w:hAnsi="Times New Roman" w:cs="Times New Roman"/>
          <w:sz w:val="24"/>
          <w:szCs w:val="24"/>
        </w:rPr>
      </w:pPr>
      <w:r w:rsidRPr="00D40676">
        <w:rPr>
          <w:rFonts w:ascii="Times New Roman" w:eastAsia="Calibri" w:hAnsi="Times New Roman" w:cs="Times New Roman"/>
          <w:b/>
          <w:sz w:val="24"/>
          <w:szCs w:val="24"/>
        </w:rPr>
        <w:t>MADDE 10 -</w:t>
      </w:r>
      <w:r w:rsidRPr="00D40676">
        <w:rPr>
          <w:rFonts w:ascii="Times New Roman" w:eastAsia="Calibri" w:hAnsi="Times New Roman" w:cs="Times New Roman"/>
          <w:sz w:val="24"/>
          <w:szCs w:val="24"/>
        </w:rPr>
        <w:t xml:space="preserve"> (1) </w:t>
      </w:r>
      <w:r w:rsidRPr="00EA32EB">
        <w:rPr>
          <w:rFonts w:ascii="Times New Roman" w:eastAsia="Calibri" w:hAnsi="Times New Roman" w:cs="Times New Roman"/>
          <w:sz w:val="24"/>
          <w:szCs w:val="24"/>
        </w:rPr>
        <w:t xml:space="preserve">Bir </w:t>
      </w:r>
      <w:proofErr w:type="spellStart"/>
      <w:r w:rsidRPr="00EA32EB">
        <w:rPr>
          <w:rFonts w:ascii="Times New Roman" w:eastAsia="Calibri" w:hAnsi="Times New Roman" w:cs="Times New Roman"/>
          <w:sz w:val="24"/>
          <w:szCs w:val="24"/>
        </w:rPr>
        <w:t>biyobenzer</w:t>
      </w:r>
      <w:proofErr w:type="spellEnd"/>
      <w:r w:rsidRPr="00EA32EB">
        <w:rPr>
          <w:rFonts w:ascii="Times New Roman" w:eastAsia="Calibri" w:hAnsi="Times New Roman" w:cs="Times New Roman"/>
          <w:sz w:val="24"/>
          <w:szCs w:val="24"/>
        </w:rPr>
        <w:t xml:space="preserve"> tıbbi ürünün geliştirilmesi sırasında tutarlı veriler elde edilmesine olanak sağlamak üzere; tüm kalite, güvenli</w:t>
      </w:r>
      <w:r w:rsidR="00EC53FF">
        <w:rPr>
          <w:rFonts w:ascii="Times New Roman" w:eastAsia="Calibri" w:hAnsi="Times New Roman" w:cs="Times New Roman"/>
          <w:sz w:val="24"/>
          <w:szCs w:val="24"/>
        </w:rPr>
        <w:t xml:space="preserve">lik ve etkililik çalışmaları </w:t>
      </w:r>
      <w:r w:rsidRPr="00EA32EB">
        <w:rPr>
          <w:rFonts w:ascii="Times New Roman" w:eastAsia="Calibri" w:hAnsi="Times New Roman" w:cs="Times New Roman"/>
          <w:sz w:val="24"/>
          <w:szCs w:val="24"/>
        </w:rPr>
        <w:t xml:space="preserve">için, referans tıbbi ürünün </w:t>
      </w:r>
      <w:r w:rsidR="000E2BC1">
        <w:rPr>
          <w:rFonts w:ascii="Times New Roman" w:eastAsia="Calibri" w:hAnsi="Times New Roman" w:cs="Times New Roman"/>
          <w:sz w:val="24"/>
          <w:szCs w:val="24"/>
        </w:rPr>
        <w:t>farklı serileri</w:t>
      </w:r>
      <w:r w:rsidRPr="00EA32EB">
        <w:rPr>
          <w:rFonts w:ascii="Times New Roman" w:eastAsia="Calibri" w:hAnsi="Times New Roman" w:cs="Times New Roman"/>
          <w:sz w:val="24"/>
          <w:szCs w:val="24"/>
        </w:rPr>
        <w:t xml:space="preserve"> </w:t>
      </w:r>
      <w:proofErr w:type="spellStart"/>
      <w:r w:rsidR="00C65539">
        <w:rPr>
          <w:rFonts w:ascii="Times New Roman" w:eastAsia="Calibri" w:hAnsi="Times New Roman" w:cs="Times New Roman"/>
          <w:sz w:val="24"/>
          <w:szCs w:val="24"/>
        </w:rPr>
        <w:t>biyobenzer</w:t>
      </w:r>
      <w:proofErr w:type="spellEnd"/>
      <w:r w:rsidR="00C65539">
        <w:rPr>
          <w:rFonts w:ascii="Times New Roman" w:eastAsia="Calibri" w:hAnsi="Times New Roman" w:cs="Times New Roman"/>
          <w:sz w:val="24"/>
          <w:szCs w:val="24"/>
        </w:rPr>
        <w:t xml:space="preserve"> tıbbi ürünün </w:t>
      </w:r>
      <w:r w:rsidR="000E2BC1">
        <w:rPr>
          <w:rFonts w:ascii="Times New Roman" w:eastAsia="Calibri" w:hAnsi="Times New Roman" w:cs="Times New Roman"/>
          <w:sz w:val="24"/>
          <w:szCs w:val="24"/>
        </w:rPr>
        <w:t xml:space="preserve">farklı serileri </w:t>
      </w:r>
      <w:r w:rsidRPr="00EA32EB">
        <w:rPr>
          <w:rFonts w:ascii="Times New Roman" w:eastAsia="Calibri" w:hAnsi="Times New Roman" w:cs="Times New Roman"/>
          <w:sz w:val="24"/>
          <w:szCs w:val="24"/>
        </w:rPr>
        <w:t>ile</w:t>
      </w:r>
      <w:r w:rsidR="009542D0">
        <w:rPr>
          <w:rFonts w:ascii="Times New Roman" w:eastAsia="Calibri" w:hAnsi="Times New Roman" w:cs="Times New Roman"/>
          <w:sz w:val="24"/>
          <w:szCs w:val="24"/>
        </w:rPr>
        <w:t xml:space="preserve"> aynı anda ve aynı koşullarda </w:t>
      </w:r>
      <w:r w:rsidRPr="00EA32EB">
        <w:rPr>
          <w:rFonts w:ascii="Times New Roman" w:eastAsia="Calibri" w:hAnsi="Times New Roman" w:cs="Times New Roman"/>
          <w:sz w:val="24"/>
          <w:szCs w:val="24"/>
        </w:rPr>
        <w:t>karşılaştırılmalıdır.</w:t>
      </w:r>
      <w:r w:rsidRPr="00A15214">
        <w:rPr>
          <w:rFonts w:ascii="Times New Roman" w:eastAsia="Calibri" w:hAnsi="Times New Roman" w:cs="Times New Roman"/>
          <w:sz w:val="24"/>
          <w:szCs w:val="24"/>
        </w:rPr>
        <w:t xml:space="preserve"> </w:t>
      </w:r>
    </w:p>
    <w:p w14:paraId="5A3BEEA2" w14:textId="77777777" w:rsidR="000E2BC1" w:rsidRDefault="000E2BC1" w:rsidP="00BE2D37">
      <w:pPr>
        <w:spacing w:after="0" w:line="276" w:lineRule="auto"/>
        <w:jc w:val="both"/>
        <w:rPr>
          <w:rFonts w:ascii="Times New Roman" w:eastAsia="Calibri" w:hAnsi="Times New Roman" w:cs="Times New Roman"/>
          <w:sz w:val="24"/>
          <w:szCs w:val="24"/>
        </w:rPr>
      </w:pPr>
    </w:p>
    <w:p w14:paraId="039BC60F" w14:textId="42B60CDC" w:rsidR="00BE2D37" w:rsidRPr="00A15214" w:rsidRDefault="00BE2D37" w:rsidP="00BE2D37">
      <w:pPr>
        <w:spacing w:after="0" w:line="276" w:lineRule="auto"/>
        <w:jc w:val="both"/>
        <w:rPr>
          <w:rFonts w:ascii="Times New Roman" w:eastAsia="Calibri" w:hAnsi="Times New Roman" w:cs="Times New Roman"/>
          <w:color w:val="000000" w:themeColor="text1"/>
          <w:sz w:val="24"/>
          <w:szCs w:val="24"/>
        </w:rPr>
      </w:pPr>
      <w:r w:rsidRPr="00A15214">
        <w:rPr>
          <w:rFonts w:ascii="Times New Roman" w:eastAsia="Calibri" w:hAnsi="Times New Roman" w:cs="Times New Roman"/>
          <w:sz w:val="24"/>
          <w:szCs w:val="24"/>
        </w:rPr>
        <w:t xml:space="preserve">Kalite verilerini oluşturmak üzere, </w:t>
      </w:r>
      <w:proofErr w:type="spellStart"/>
      <w:r w:rsidRPr="00A15214">
        <w:rPr>
          <w:rFonts w:ascii="Times New Roman" w:eastAsia="Calibri" w:hAnsi="Times New Roman" w:cs="Times New Roman"/>
          <w:sz w:val="24"/>
          <w:szCs w:val="24"/>
        </w:rPr>
        <w:t>biyobenzer</w:t>
      </w:r>
      <w:proofErr w:type="spellEnd"/>
      <w:r w:rsidRPr="00A15214">
        <w:rPr>
          <w:rFonts w:ascii="Times New Roman" w:eastAsia="Calibri" w:hAnsi="Times New Roman" w:cs="Times New Roman"/>
          <w:sz w:val="24"/>
          <w:szCs w:val="24"/>
        </w:rPr>
        <w:t xml:space="preserve"> tıbbi ürünle </w:t>
      </w:r>
      <w:proofErr w:type="spellStart"/>
      <w:r w:rsidRPr="00A15214">
        <w:rPr>
          <w:rFonts w:ascii="Times New Roman" w:eastAsia="Calibri" w:hAnsi="Times New Roman" w:cs="Times New Roman"/>
          <w:sz w:val="24"/>
          <w:szCs w:val="24"/>
        </w:rPr>
        <w:t>karşılaştırılabilirlik</w:t>
      </w:r>
      <w:proofErr w:type="spellEnd"/>
      <w:r w:rsidRPr="00A15214">
        <w:rPr>
          <w:rFonts w:ascii="Times New Roman" w:eastAsia="Calibri" w:hAnsi="Times New Roman" w:cs="Times New Roman"/>
          <w:sz w:val="24"/>
          <w:szCs w:val="24"/>
        </w:rPr>
        <w:t xml:space="preserve"> çalışmalarında referans tıbbi ürünün en az 3 farklı serisi kullanılarak </w:t>
      </w:r>
      <w:proofErr w:type="spellStart"/>
      <w:r w:rsidRPr="00A15214">
        <w:rPr>
          <w:rFonts w:ascii="Times New Roman" w:eastAsia="Calibri" w:hAnsi="Times New Roman" w:cs="Times New Roman"/>
          <w:sz w:val="24"/>
          <w:szCs w:val="24"/>
        </w:rPr>
        <w:t>biyobenzer</w:t>
      </w:r>
      <w:proofErr w:type="spellEnd"/>
      <w:r w:rsidRPr="00A15214">
        <w:rPr>
          <w:rFonts w:ascii="Times New Roman" w:eastAsia="Calibri" w:hAnsi="Times New Roman" w:cs="Times New Roman"/>
          <w:sz w:val="24"/>
          <w:szCs w:val="24"/>
        </w:rPr>
        <w:t xml:space="preserve"> tıbbi ü</w:t>
      </w:r>
      <w:r w:rsidR="00A154EE">
        <w:rPr>
          <w:rFonts w:ascii="Times New Roman" w:eastAsia="Calibri" w:hAnsi="Times New Roman" w:cs="Times New Roman"/>
          <w:sz w:val="24"/>
          <w:szCs w:val="24"/>
        </w:rPr>
        <w:t xml:space="preserve">rüne ait </w:t>
      </w:r>
      <w:r w:rsidR="003C7CE3">
        <w:rPr>
          <w:rFonts w:ascii="Times New Roman" w:eastAsia="Calibri" w:hAnsi="Times New Roman" w:cs="Times New Roman"/>
          <w:sz w:val="24"/>
          <w:szCs w:val="24"/>
        </w:rPr>
        <w:t>HÜKP</w:t>
      </w:r>
      <w:r w:rsidRPr="00A15214">
        <w:rPr>
          <w:rFonts w:ascii="Times New Roman" w:eastAsia="Calibri" w:hAnsi="Times New Roman" w:cs="Times New Roman"/>
          <w:sz w:val="24"/>
          <w:szCs w:val="24"/>
        </w:rPr>
        <w:t xml:space="preserve"> belirlenmelidir. </w:t>
      </w:r>
      <w:r w:rsidR="003C7CE3">
        <w:rPr>
          <w:rFonts w:ascii="Times New Roman" w:eastAsia="Calibri" w:hAnsi="Times New Roman" w:cs="Times New Roman"/>
          <w:sz w:val="24"/>
          <w:szCs w:val="24"/>
        </w:rPr>
        <w:t>HÜKP</w:t>
      </w:r>
      <w:r w:rsidRPr="00A15214">
        <w:rPr>
          <w:rFonts w:ascii="Times New Roman" w:eastAsia="Calibri" w:hAnsi="Times New Roman" w:cs="Times New Roman"/>
          <w:sz w:val="24"/>
          <w:szCs w:val="24"/>
        </w:rPr>
        <w:t xml:space="preserve"> belirlenirken </w:t>
      </w:r>
      <w:r w:rsidRPr="00EA32EB">
        <w:rPr>
          <w:rFonts w:ascii="Times New Roman" w:hAnsi="Times New Roman" w:cs="Times New Roman"/>
          <w:sz w:val="24"/>
          <w:szCs w:val="24"/>
        </w:rPr>
        <w:t>referans tıbbi ürünün en az 3 farklı</w:t>
      </w:r>
      <w:r w:rsidR="00BB19D7">
        <w:rPr>
          <w:rFonts w:ascii="Times New Roman" w:hAnsi="Times New Roman" w:cs="Times New Roman"/>
          <w:sz w:val="24"/>
          <w:szCs w:val="24"/>
        </w:rPr>
        <w:t xml:space="preserve"> serisinin farklı yaşlarda seçilmesi</w:t>
      </w:r>
      <w:r w:rsidR="00CC52A5">
        <w:rPr>
          <w:rFonts w:ascii="Times New Roman" w:hAnsi="Times New Roman" w:cs="Times New Roman"/>
          <w:sz w:val="24"/>
          <w:szCs w:val="24"/>
        </w:rPr>
        <w:t xml:space="preserve"> tavsiye edilmektedir</w:t>
      </w:r>
      <w:r w:rsidR="0084177F">
        <w:rPr>
          <w:rFonts w:ascii="Times New Roman" w:hAnsi="Times New Roman" w:cs="Times New Roman"/>
          <w:sz w:val="24"/>
          <w:szCs w:val="24"/>
        </w:rPr>
        <w:t>.</w:t>
      </w:r>
      <w:r w:rsidRPr="00A15214">
        <w:rPr>
          <w:rFonts w:ascii="Times New Roman" w:hAnsi="Times New Roman" w:cs="Times New Roman"/>
          <w:sz w:val="24"/>
          <w:szCs w:val="24"/>
        </w:rPr>
        <w:t xml:space="preserve"> </w:t>
      </w:r>
    </w:p>
    <w:p w14:paraId="0A09E86C" w14:textId="77777777" w:rsidR="00BE2D37" w:rsidRPr="00A15214" w:rsidRDefault="00BE2D37" w:rsidP="00BE2D37">
      <w:pPr>
        <w:spacing w:after="0" w:line="276" w:lineRule="auto"/>
        <w:rPr>
          <w:rFonts w:ascii="Times New Roman" w:eastAsia="Calibri" w:hAnsi="Times New Roman" w:cs="Times New Roman"/>
          <w:b/>
          <w:sz w:val="24"/>
          <w:szCs w:val="24"/>
        </w:rPr>
      </w:pPr>
    </w:p>
    <w:p w14:paraId="392628D6" w14:textId="77777777" w:rsidR="00BE2D37" w:rsidRDefault="00BE2D37" w:rsidP="00852790">
      <w:pPr>
        <w:spacing w:after="0" w:line="276" w:lineRule="auto"/>
        <w:jc w:val="both"/>
        <w:rPr>
          <w:rFonts w:ascii="Times New Roman" w:eastAsia="Calibri" w:hAnsi="Times New Roman" w:cs="Times New Roman"/>
          <w:sz w:val="24"/>
          <w:szCs w:val="24"/>
        </w:rPr>
      </w:pPr>
      <w:r w:rsidRPr="00A15214">
        <w:rPr>
          <w:rFonts w:ascii="Times New Roman" w:eastAsia="Calibri" w:hAnsi="Times New Roman" w:cs="Times New Roman"/>
          <w:sz w:val="24"/>
          <w:szCs w:val="24"/>
        </w:rPr>
        <w:t>(2)</w:t>
      </w:r>
      <w:r w:rsidR="00382318">
        <w:rPr>
          <w:rFonts w:ascii="Times New Roman" w:eastAsia="Calibri" w:hAnsi="Times New Roman" w:cs="Times New Roman"/>
          <w:sz w:val="24"/>
          <w:szCs w:val="24"/>
        </w:rPr>
        <w:t xml:space="preserve"> </w:t>
      </w:r>
      <w:proofErr w:type="spellStart"/>
      <w:r w:rsidRPr="00A15214">
        <w:rPr>
          <w:rFonts w:ascii="Times New Roman" w:eastAsia="Calibri" w:hAnsi="Times New Roman" w:cs="Times New Roman"/>
          <w:sz w:val="24"/>
          <w:szCs w:val="24"/>
        </w:rPr>
        <w:t>Biyobenzer</w:t>
      </w:r>
      <w:proofErr w:type="spellEnd"/>
      <w:r w:rsidRPr="00A15214">
        <w:rPr>
          <w:rFonts w:ascii="Times New Roman" w:eastAsia="Calibri" w:hAnsi="Times New Roman" w:cs="Times New Roman"/>
          <w:sz w:val="24"/>
          <w:szCs w:val="24"/>
        </w:rPr>
        <w:t xml:space="preserve"> </w:t>
      </w:r>
      <w:proofErr w:type="spellStart"/>
      <w:r w:rsidRPr="00A15214">
        <w:rPr>
          <w:rFonts w:ascii="Times New Roman" w:eastAsia="Calibri" w:hAnsi="Times New Roman" w:cs="Times New Roman"/>
          <w:sz w:val="24"/>
          <w:szCs w:val="24"/>
        </w:rPr>
        <w:t>karşılaştırılabilirliğin</w:t>
      </w:r>
      <w:proofErr w:type="spellEnd"/>
      <w:r w:rsidRPr="00A15214">
        <w:rPr>
          <w:rFonts w:ascii="Times New Roman" w:eastAsia="Calibri" w:hAnsi="Times New Roman" w:cs="Times New Roman"/>
          <w:sz w:val="24"/>
          <w:szCs w:val="24"/>
        </w:rPr>
        <w:t xml:space="preserve"> kalite düzeyinde gösterilmesi için, </w:t>
      </w:r>
      <w:proofErr w:type="spellStart"/>
      <w:r w:rsidRPr="00A15214">
        <w:rPr>
          <w:rFonts w:ascii="Times New Roman" w:eastAsia="Calibri" w:hAnsi="Times New Roman" w:cs="Times New Roman"/>
          <w:sz w:val="24"/>
          <w:szCs w:val="24"/>
        </w:rPr>
        <w:t>biyobenzer</w:t>
      </w:r>
      <w:proofErr w:type="spellEnd"/>
      <w:r w:rsidRPr="00A15214">
        <w:rPr>
          <w:rFonts w:ascii="Times New Roman" w:eastAsia="Calibri" w:hAnsi="Times New Roman" w:cs="Times New Roman"/>
          <w:sz w:val="24"/>
          <w:szCs w:val="24"/>
        </w:rPr>
        <w:t xml:space="preserve"> tıbbi ürünün geliştirme </w:t>
      </w:r>
      <w:proofErr w:type="gramStart"/>
      <w:r w:rsidRPr="00A15214">
        <w:rPr>
          <w:rFonts w:ascii="Times New Roman" w:eastAsia="Calibri" w:hAnsi="Times New Roman" w:cs="Times New Roman"/>
          <w:sz w:val="24"/>
          <w:szCs w:val="24"/>
        </w:rPr>
        <w:t>proseslerinin</w:t>
      </w:r>
      <w:proofErr w:type="gramEnd"/>
      <w:r w:rsidRPr="00A15214">
        <w:rPr>
          <w:rFonts w:ascii="Times New Roman" w:eastAsia="Calibri" w:hAnsi="Times New Roman" w:cs="Times New Roman"/>
          <w:sz w:val="24"/>
          <w:szCs w:val="24"/>
        </w:rPr>
        <w:t xml:space="preserve"> farklı aşamalarında en az 3 farklı seride yürütülmesi </w:t>
      </w:r>
      <w:r w:rsidR="008246CD">
        <w:rPr>
          <w:rFonts w:ascii="Times New Roman" w:eastAsia="Calibri" w:hAnsi="Times New Roman" w:cs="Times New Roman"/>
          <w:sz w:val="24"/>
          <w:szCs w:val="24"/>
        </w:rPr>
        <w:t>önerilir. P</w:t>
      </w:r>
      <w:r w:rsidRPr="00A15214">
        <w:rPr>
          <w:rFonts w:ascii="Times New Roman" w:eastAsia="Calibri" w:hAnsi="Times New Roman" w:cs="Times New Roman"/>
          <w:sz w:val="24"/>
          <w:szCs w:val="24"/>
        </w:rPr>
        <w:t>rosese uygun ölçekte ve geçerli üretim yerinde üretilmiş en az 3 serinin referans tıbbi ürünün en az 3 farklı serisi ile karşılaştırmalı analizi sunulmalıdır. Bu analizler; yapısal ve işlevsel verileri kapsamalıdır.</w:t>
      </w:r>
      <w:r w:rsidRPr="00744538">
        <w:rPr>
          <w:rFonts w:ascii="Times New Roman" w:eastAsia="Calibri" w:hAnsi="Times New Roman" w:cs="Times New Roman"/>
          <w:sz w:val="24"/>
          <w:szCs w:val="24"/>
        </w:rPr>
        <w:t xml:space="preserve"> </w:t>
      </w:r>
    </w:p>
    <w:p w14:paraId="07F97D07" w14:textId="77777777" w:rsidR="00852790" w:rsidRPr="00852790" w:rsidRDefault="00852790" w:rsidP="0085279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93E1C82" w14:textId="77777777" w:rsidR="00DC471C" w:rsidRPr="00FF4584" w:rsidRDefault="00DC471C" w:rsidP="00327D21">
      <w:pPr>
        <w:spacing w:after="0" w:line="276" w:lineRule="auto"/>
        <w:jc w:val="both"/>
        <w:rPr>
          <w:rFonts w:ascii="Times New Roman" w:eastAsia="Calibri" w:hAnsi="Times New Roman" w:cs="Times New Roman"/>
          <w:sz w:val="24"/>
          <w:szCs w:val="24"/>
        </w:rPr>
      </w:pPr>
      <w:r w:rsidRPr="00E63F4E">
        <w:rPr>
          <w:rFonts w:ascii="Times New Roman" w:hAnsi="Times New Roman" w:cs="Times New Roman"/>
          <w:b/>
          <w:sz w:val="24"/>
          <w:szCs w:val="24"/>
        </w:rPr>
        <w:t>MADDE 1</w:t>
      </w:r>
      <w:r w:rsidR="00561031">
        <w:rPr>
          <w:rFonts w:ascii="Times New Roman" w:hAnsi="Times New Roman" w:cs="Times New Roman"/>
          <w:b/>
          <w:sz w:val="24"/>
          <w:szCs w:val="24"/>
        </w:rPr>
        <w:t xml:space="preserve">1 </w:t>
      </w:r>
      <w:r w:rsidRPr="00E63F4E">
        <w:rPr>
          <w:rFonts w:ascii="Times New Roman" w:hAnsi="Times New Roman" w:cs="Times New Roman"/>
          <w:b/>
          <w:sz w:val="24"/>
          <w:szCs w:val="24"/>
        </w:rPr>
        <w:t xml:space="preserve">- </w:t>
      </w:r>
      <w:r w:rsidR="005B311D" w:rsidRPr="00465803">
        <w:rPr>
          <w:rFonts w:ascii="Times New Roman" w:hAnsi="Times New Roman" w:cs="Times New Roman"/>
          <w:sz w:val="24"/>
          <w:szCs w:val="24"/>
        </w:rPr>
        <w:t>(1)</w:t>
      </w:r>
      <w:r w:rsidR="00852790">
        <w:rPr>
          <w:rFonts w:ascii="Times New Roman" w:hAnsi="Times New Roman" w:cs="Times New Roman"/>
          <w:sz w:val="24"/>
          <w:szCs w:val="24"/>
        </w:rPr>
        <w:t xml:space="preserve"> </w:t>
      </w:r>
      <w:proofErr w:type="spellStart"/>
      <w:r w:rsidRPr="00FF4584">
        <w:rPr>
          <w:rFonts w:ascii="Times New Roman" w:eastAsia="Calibri" w:hAnsi="Times New Roman" w:cs="Times New Roman"/>
          <w:sz w:val="24"/>
          <w:szCs w:val="24"/>
        </w:rPr>
        <w:t>Biyobenze</w:t>
      </w:r>
      <w:r w:rsidR="003E1C2E" w:rsidRPr="00FF4584">
        <w:rPr>
          <w:rFonts w:ascii="Times New Roman" w:eastAsia="Calibri" w:hAnsi="Times New Roman" w:cs="Times New Roman"/>
          <w:sz w:val="24"/>
          <w:szCs w:val="24"/>
        </w:rPr>
        <w:t>rin</w:t>
      </w:r>
      <w:proofErr w:type="spellEnd"/>
      <w:r w:rsidR="003E1C2E" w:rsidRPr="00FF4584">
        <w:rPr>
          <w:rFonts w:ascii="Times New Roman" w:eastAsia="Calibri" w:hAnsi="Times New Roman" w:cs="Times New Roman"/>
          <w:sz w:val="24"/>
          <w:szCs w:val="24"/>
        </w:rPr>
        <w:t xml:space="preserve"> </w:t>
      </w:r>
      <w:r w:rsidRPr="00FF4584">
        <w:rPr>
          <w:rFonts w:ascii="Times New Roman" w:eastAsia="Calibri" w:hAnsi="Times New Roman" w:cs="Times New Roman"/>
          <w:sz w:val="24"/>
          <w:szCs w:val="24"/>
        </w:rPr>
        <w:t>referans tıbbi ürün</w:t>
      </w:r>
      <w:r w:rsidR="003E1C2E" w:rsidRPr="00FF4584">
        <w:rPr>
          <w:rFonts w:ascii="Times New Roman" w:eastAsia="Calibri" w:hAnsi="Times New Roman" w:cs="Times New Roman"/>
          <w:sz w:val="24"/>
          <w:szCs w:val="24"/>
        </w:rPr>
        <w:t xml:space="preserve"> ile </w:t>
      </w:r>
      <w:proofErr w:type="spellStart"/>
      <w:r w:rsidRPr="00FF4584">
        <w:rPr>
          <w:rFonts w:ascii="Times New Roman" w:eastAsia="Calibri" w:hAnsi="Times New Roman" w:cs="Times New Roman"/>
          <w:sz w:val="24"/>
          <w:szCs w:val="24"/>
        </w:rPr>
        <w:t>karşılaştırılabilirlik</w:t>
      </w:r>
      <w:proofErr w:type="spellEnd"/>
      <w:r w:rsidRPr="00FF4584">
        <w:rPr>
          <w:rFonts w:ascii="Times New Roman" w:eastAsia="Calibri" w:hAnsi="Times New Roman" w:cs="Times New Roman"/>
          <w:sz w:val="24"/>
          <w:szCs w:val="24"/>
        </w:rPr>
        <w:t xml:space="preserve"> çalışması</w:t>
      </w:r>
      <w:r w:rsidR="009564E3" w:rsidRPr="00FF4584">
        <w:rPr>
          <w:rFonts w:ascii="Times New Roman" w:eastAsia="Calibri" w:hAnsi="Times New Roman" w:cs="Times New Roman"/>
          <w:sz w:val="24"/>
          <w:szCs w:val="24"/>
        </w:rPr>
        <w:t>nın kapsamlı olarak sunulması</w:t>
      </w:r>
      <w:r w:rsidR="009858B1">
        <w:rPr>
          <w:rFonts w:ascii="Times New Roman" w:eastAsia="Calibri" w:hAnsi="Times New Roman" w:cs="Times New Roman"/>
          <w:sz w:val="24"/>
          <w:szCs w:val="24"/>
        </w:rPr>
        <w:t xml:space="preserve"> gerekmektedir</w:t>
      </w:r>
      <w:r w:rsidR="003E1C2E" w:rsidRPr="00FF4584">
        <w:rPr>
          <w:rFonts w:ascii="Times New Roman" w:eastAsia="Calibri" w:hAnsi="Times New Roman" w:cs="Times New Roman"/>
          <w:sz w:val="24"/>
          <w:szCs w:val="24"/>
        </w:rPr>
        <w:t>.</w:t>
      </w:r>
    </w:p>
    <w:p w14:paraId="2ED86C16" w14:textId="77777777" w:rsidR="00DC471C" w:rsidRPr="00FF4584" w:rsidRDefault="00841C99" w:rsidP="00327D21">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FB75F0F" w14:textId="77777777" w:rsidR="00DC471C" w:rsidRPr="00FF4584" w:rsidRDefault="005B311D" w:rsidP="00327D21">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w:t>
      </w:r>
      <w:r w:rsidR="009B7D37" w:rsidRPr="00FF4584">
        <w:rPr>
          <w:rFonts w:ascii="Times New Roman" w:eastAsia="Calibri" w:hAnsi="Times New Roman" w:cs="Times New Roman"/>
          <w:sz w:val="24"/>
          <w:szCs w:val="24"/>
        </w:rPr>
        <w:t>2</w:t>
      </w:r>
      <w:r w:rsidRPr="00FF4584">
        <w:rPr>
          <w:rFonts w:ascii="Times New Roman" w:eastAsia="Calibri" w:hAnsi="Times New Roman" w:cs="Times New Roman"/>
          <w:sz w:val="24"/>
          <w:szCs w:val="24"/>
        </w:rPr>
        <w:t>)</w:t>
      </w:r>
      <w:r w:rsidR="00561031" w:rsidRPr="00FF4584">
        <w:rPr>
          <w:rFonts w:ascii="Times New Roman" w:eastAsia="Calibri" w:hAnsi="Times New Roman" w:cs="Times New Roman"/>
          <w:sz w:val="24"/>
          <w:szCs w:val="24"/>
        </w:rPr>
        <w:t xml:space="preserve"> </w:t>
      </w:r>
      <w:proofErr w:type="spellStart"/>
      <w:r w:rsidR="009858B1">
        <w:rPr>
          <w:rFonts w:ascii="Times New Roman" w:eastAsia="Calibri" w:hAnsi="Times New Roman" w:cs="Times New Roman"/>
          <w:sz w:val="24"/>
          <w:szCs w:val="24"/>
        </w:rPr>
        <w:t>K</w:t>
      </w:r>
      <w:r w:rsidR="00DC471C" w:rsidRPr="00FF4584">
        <w:rPr>
          <w:rFonts w:ascii="Times New Roman" w:eastAsia="Calibri" w:hAnsi="Times New Roman" w:cs="Times New Roman"/>
          <w:sz w:val="24"/>
          <w:szCs w:val="24"/>
        </w:rPr>
        <w:t>arşılaştırılabilirlik</w:t>
      </w:r>
      <w:proofErr w:type="spellEnd"/>
      <w:r w:rsidR="00DC471C" w:rsidRPr="00FF4584">
        <w:rPr>
          <w:rFonts w:ascii="Times New Roman" w:eastAsia="Calibri" w:hAnsi="Times New Roman" w:cs="Times New Roman"/>
          <w:sz w:val="24"/>
          <w:szCs w:val="24"/>
        </w:rPr>
        <w:t xml:space="preserve"> çalışmalarında amaç, </w:t>
      </w:r>
      <w:proofErr w:type="spellStart"/>
      <w:r w:rsidR="00DC471C" w:rsidRPr="00FF4584">
        <w:rPr>
          <w:rFonts w:ascii="Times New Roman" w:eastAsia="Calibri" w:hAnsi="Times New Roman" w:cs="Times New Roman"/>
          <w:sz w:val="24"/>
          <w:szCs w:val="24"/>
        </w:rPr>
        <w:t>biyobenzer</w:t>
      </w:r>
      <w:proofErr w:type="spellEnd"/>
      <w:r w:rsidR="00DC471C" w:rsidRPr="00FF4584">
        <w:rPr>
          <w:rFonts w:ascii="Times New Roman" w:eastAsia="Calibri" w:hAnsi="Times New Roman" w:cs="Times New Roman"/>
          <w:sz w:val="24"/>
          <w:szCs w:val="24"/>
        </w:rPr>
        <w:t xml:space="preserve"> referans tıbbi ürünün, bitmiş </w:t>
      </w:r>
      <w:r w:rsidR="009858B1">
        <w:rPr>
          <w:rFonts w:ascii="Times New Roman" w:eastAsia="Calibri" w:hAnsi="Times New Roman" w:cs="Times New Roman"/>
          <w:sz w:val="24"/>
          <w:szCs w:val="24"/>
        </w:rPr>
        <w:t>ü</w:t>
      </w:r>
      <w:r w:rsidR="00DC471C" w:rsidRPr="00FF4584">
        <w:rPr>
          <w:rFonts w:ascii="Times New Roman" w:eastAsia="Calibri" w:hAnsi="Times New Roman" w:cs="Times New Roman"/>
          <w:sz w:val="24"/>
          <w:szCs w:val="24"/>
        </w:rPr>
        <w:t xml:space="preserve">rün düzeyinde benzer olduğunu göstermektir. </w:t>
      </w:r>
      <w:proofErr w:type="spellStart"/>
      <w:r w:rsidR="00DC471C" w:rsidRPr="00FF4584">
        <w:rPr>
          <w:rFonts w:ascii="Times New Roman" w:eastAsia="Calibri" w:hAnsi="Times New Roman" w:cs="Times New Roman"/>
          <w:sz w:val="24"/>
          <w:szCs w:val="24"/>
        </w:rPr>
        <w:t>Biyobenzer</w:t>
      </w:r>
      <w:proofErr w:type="spellEnd"/>
      <w:r w:rsidR="00DC471C"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w:t>
      </w:r>
      <w:r w:rsidR="00DC471C" w:rsidRPr="00FF4584">
        <w:rPr>
          <w:rFonts w:ascii="Times New Roman" w:eastAsia="Calibri" w:hAnsi="Times New Roman" w:cs="Times New Roman"/>
          <w:sz w:val="24"/>
          <w:szCs w:val="24"/>
        </w:rPr>
        <w:t xml:space="preserve">ürünün kalite özelliklerinin tümünün referans tıbbi ürün ile aynı olması beklenmez. Ancak, nicel ve/veya nitel farklılıkların bulunduğu durumlarda bu farklılıklar gerekçelendirilmeli ve ürünün klinik performansı üzerinde hiçbir etkisinin bulunmadığı gösterilmelidir. Bu durumda, klinik ve/veya klinik </w:t>
      </w:r>
      <w:r w:rsidR="002C4899" w:rsidRPr="00FF4584">
        <w:rPr>
          <w:rFonts w:ascii="Times New Roman" w:eastAsia="Calibri" w:hAnsi="Times New Roman" w:cs="Times New Roman"/>
          <w:sz w:val="24"/>
          <w:szCs w:val="24"/>
        </w:rPr>
        <w:t xml:space="preserve">dışı </w:t>
      </w:r>
      <w:r w:rsidR="00DC471C" w:rsidRPr="00FF4584">
        <w:rPr>
          <w:rFonts w:ascii="Times New Roman" w:eastAsia="Calibri" w:hAnsi="Times New Roman" w:cs="Times New Roman"/>
          <w:sz w:val="24"/>
          <w:szCs w:val="24"/>
        </w:rPr>
        <w:t xml:space="preserve">ek veriler gerekebilir. </w:t>
      </w:r>
      <w:proofErr w:type="spellStart"/>
      <w:r w:rsidR="00DC471C" w:rsidRPr="00FF4584">
        <w:rPr>
          <w:rFonts w:ascii="Times New Roman" w:eastAsia="Calibri" w:hAnsi="Times New Roman" w:cs="Times New Roman"/>
          <w:sz w:val="24"/>
          <w:szCs w:val="24"/>
        </w:rPr>
        <w:t>İmmünojenisite</w:t>
      </w:r>
      <w:proofErr w:type="spellEnd"/>
      <w:r w:rsidR="00DC471C" w:rsidRPr="00FF4584">
        <w:rPr>
          <w:rFonts w:ascii="Times New Roman" w:eastAsia="Calibri" w:hAnsi="Times New Roman" w:cs="Times New Roman"/>
          <w:sz w:val="24"/>
          <w:szCs w:val="24"/>
        </w:rPr>
        <w:t xml:space="preserve"> veya </w:t>
      </w:r>
      <w:proofErr w:type="spellStart"/>
      <w:r w:rsidR="00DC471C" w:rsidRPr="00FF4584">
        <w:rPr>
          <w:rFonts w:ascii="Times New Roman" w:eastAsia="Calibri" w:hAnsi="Times New Roman" w:cs="Times New Roman"/>
          <w:sz w:val="24"/>
          <w:szCs w:val="24"/>
        </w:rPr>
        <w:t>potens</w:t>
      </w:r>
      <w:proofErr w:type="spellEnd"/>
      <w:r w:rsidR="00DC471C" w:rsidRPr="00FF4584">
        <w:rPr>
          <w:rFonts w:ascii="Times New Roman" w:eastAsia="Calibri" w:hAnsi="Times New Roman" w:cs="Times New Roman"/>
          <w:sz w:val="24"/>
          <w:szCs w:val="24"/>
        </w:rPr>
        <w:t xml:space="preserve"> üzerinde etkisi olan ve referans tıbbi üründe görülmemiş kalite özellikleri göz önünde bulundurulmalıdır.</w:t>
      </w:r>
    </w:p>
    <w:p w14:paraId="78C69ED5" w14:textId="77777777" w:rsidR="00DC471C" w:rsidRPr="00FF4584" w:rsidRDefault="00DC471C" w:rsidP="00327D21">
      <w:pPr>
        <w:spacing w:after="0" w:line="276" w:lineRule="auto"/>
        <w:rPr>
          <w:rFonts w:ascii="Times New Roman" w:eastAsia="Calibri" w:hAnsi="Times New Roman" w:cs="Times New Roman"/>
          <w:sz w:val="24"/>
          <w:szCs w:val="24"/>
        </w:rPr>
      </w:pPr>
    </w:p>
    <w:p w14:paraId="76C85028" w14:textId="77777777" w:rsidR="00DC471C" w:rsidRPr="00FF4584" w:rsidRDefault="005B311D" w:rsidP="00327D21">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w:t>
      </w:r>
      <w:r w:rsidR="009B7D37" w:rsidRPr="00FF4584">
        <w:rPr>
          <w:rFonts w:ascii="Times New Roman" w:eastAsia="Calibri" w:hAnsi="Times New Roman" w:cs="Times New Roman"/>
          <w:sz w:val="24"/>
          <w:szCs w:val="24"/>
        </w:rPr>
        <w:t>3</w:t>
      </w:r>
      <w:r w:rsidRPr="00FF4584">
        <w:rPr>
          <w:rFonts w:ascii="Times New Roman" w:eastAsia="Calibri" w:hAnsi="Times New Roman" w:cs="Times New Roman"/>
          <w:sz w:val="24"/>
          <w:szCs w:val="24"/>
        </w:rPr>
        <w:t>)</w:t>
      </w:r>
      <w:r w:rsidR="00561031"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Süreç ile ilgili </w:t>
      </w:r>
      <w:proofErr w:type="spellStart"/>
      <w:r w:rsidR="00DC471C" w:rsidRPr="00FF4584">
        <w:rPr>
          <w:rFonts w:ascii="Times New Roman" w:eastAsia="Calibri" w:hAnsi="Times New Roman" w:cs="Times New Roman"/>
          <w:sz w:val="24"/>
          <w:szCs w:val="24"/>
        </w:rPr>
        <w:t>safsızlıklar</w:t>
      </w:r>
      <w:proofErr w:type="spellEnd"/>
      <w:r w:rsidR="00DC471C" w:rsidRPr="00FF4584">
        <w:rPr>
          <w:rFonts w:ascii="Times New Roman" w:eastAsia="Calibri" w:hAnsi="Times New Roman" w:cs="Times New Roman"/>
          <w:sz w:val="24"/>
          <w:szCs w:val="24"/>
        </w:rPr>
        <w:t xml:space="preserve">, her ne kadar en aza indirilse de, referans tıbbi ürün ve </w:t>
      </w:r>
      <w:proofErr w:type="spellStart"/>
      <w:r w:rsidR="00DC471C" w:rsidRPr="00FF4584">
        <w:rPr>
          <w:rFonts w:ascii="Times New Roman" w:eastAsia="Calibri" w:hAnsi="Times New Roman" w:cs="Times New Roman"/>
          <w:sz w:val="24"/>
          <w:szCs w:val="24"/>
        </w:rPr>
        <w:t>biyobenzer</w:t>
      </w:r>
      <w:proofErr w:type="spellEnd"/>
      <w:r w:rsidR="00DC471C"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w:t>
      </w:r>
      <w:r w:rsidR="00DC471C" w:rsidRPr="00FF4584">
        <w:rPr>
          <w:rFonts w:ascii="Times New Roman" w:eastAsia="Calibri" w:hAnsi="Times New Roman" w:cs="Times New Roman"/>
          <w:sz w:val="24"/>
          <w:szCs w:val="24"/>
        </w:rPr>
        <w:t>ürün</w:t>
      </w:r>
      <w:r w:rsidR="007135D0"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arasında farklılık görülebilmektedir. </w:t>
      </w:r>
      <w:proofErr w:type="spellStart"/>
      <w:r w:rsidR="00DC471C" w:rsidRPr="00FF4584">
        <w:rPr>
          <w:rFonts w:ascii="Times New Roman" w:eastAsia="Calibri" w:hAnsi="Times New Roman" w:cs="Times New Roman"/>
          <w:sz w:val="24"/>
          <w:szCs w:val="24"/>
        </w:rPr>
        <w:t>Safsızlıklar</w:t>
      </w:r>
      <w:proofErr w:type="spellEnd"/>
      <w:r w:rsidR="00DC471C" w:rsidRPr="00FF4584">
        <w:rPr>
          <w:rFonts w:ascii="Times New Roman" w:eastAsia="Calibri" w:hAnsi="Times New Roman" w:cs="Times New Roman"/>
          <w:sz w:val="24"/>
          <w:szCs w:val="24"/>
        </w:rPr>
        <w:t xml:space="preserve"> bakımından güvenlilik avantajı sağlayabilecek daha düşük düzeyler </w:t>
      </w:r>
      <w:proofErr w:type="spellStart"/>
      <w:r w:rsidR="00DC471C" w:rsidRPr="00FF4584">
        <w:rPr>
          <w:rFonts w:ascii="Times New Roman" w:eastAsia="Calibri" w:hAnsi="Times New Roman" w:cs="Times New Roman"/>
          <w:sz w:val="24"/>
          <w:szCs w:val="24"/>
        </w:rPr>
        <w:t>biyobenzerliği</w:t>
      </w:r>
      <w:proofErr w:type="spellEnd"/>
      <w:r w:rsidR="00DC471C" w:rsidRPr="00FF4584">
        <w:rPr>
          <w:rFonts w:ascii="Times New Roman" w:eastAsia="Calibri" w:hAnsi="Times New Roman" w:cs="Times New Roman"/>
          <w:sz w:val="24"/>
          <w:szCs w:val="24"/>
        </w:rPr>
        <w:t xml:space="preserve"> engellemez.</w:t>
      </w:r>
    </w:p>
    <w:p w14:paraId="7DB7F541" w14:textId="77777777" w:rsidR="00CB5AFF" w:rsidRPr="00FF4584" w:rsidRDefault="00CB5AFF" w:rsidP="00327D21">
      <w:pPr>
        <w:spacing w:after="0" w:line="276" w:lineRule="auto"/>
        <w:jc w:val="both"/>
        <w:rPr>
          <w:rFonts w:ascii="Times New Roman" w:eastAsia="Calibri" w:hAnsi="Times New Roman" w:cs="Times New Roman"/>
          <w:color w:val="FF0000"/>
          <w:sz w:val="24"/>
          <w:szCs w:val="24"/>
        </w:rPr>
      </w:pPr>
    </w:p>
    <w:p w14:paraId="1548C004" w14:textId="77777777" w:rsidR="00A00E04" w:rsidRPr="00FF4584" w:rsidRDefault="005B311D" w:rsidP="00327D21">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lastRenderedPageBreak/>
        <w:t>(</w:t>
      </w:r>
      <w:r w:rsidR="009B7D37" w:rsidRPr="00FF4584">
        <w:rPr>
          <w:rFonts w:ascii="Times New Roman" w:eastAsia="Calibri" w:hAnsi="Times New Roman" w:cs="Times New Roman"/>
          <w:sz w:val="24"/>
          <w:szCs w:val="24"/>
        </w:rPr>
        <w:t>4</w:t>
      </w:r>
      <w:r w:rsidRPr="00FF4584">
        <w:rPr>
          <w:rFonts w:ascii="Times New Roman" w:eastAsia="Calibri" w:hAnsi="Times New Roman" w:cs="Times New Roman"/>
          <w:sz w:val="24"/>
          <w:szCs w:val="24"/>
        </w:rPr>
        <w:t>)</w:t>
      </w:r>
      <w:r w:rsidR="00561031"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Mümkün olan durumlarda, </w:t>
      </w:r>
      <w:proofErr w:type="spellStart"/>
      <w:r w:rsidR="00DC471C" w:rsidRPr="00FF4584">
        <w:rPr>
          <w:rFonts w:ascii="Times New Roman" w:eastAsia="Calibri" w:hAnsi="Times New Roman" w:cs="Times New Roman"/>
          <w:sz w:val="24"/>
          <w:szCs w:val="24"/>
        </w:rPr>
        <w:t>biyobenzer</w:t>
      </w:r>
      <w:proofErr w:type="spellEnd"/>
      <w:r w:rsidR="00DC471C" w:rsidRPr="00FF4584">
        <w:rPr>
          <w:rFonts w:ascii="Times New Roman" w:eastAsia="Calibri" w:hAnsi="Times New Roman" w:cs="Times New Roman"/>
          <w:sz w:val="24"/>
          <w:szCs w:val="24"/>
        </w:rPr>
        <w:t xml:space="preserve"> </w:t>
      </w:r>
      <w:proofErr w:type="spellStart"/>
      <w:r w:rsidR="00DC471C" w:rsidRPr="00FF4584">
        <w:rPr>
          <w:rFonts w:ascii="Times New Roman" w:eastAsia="Calibri" w:hAnsi="Times New Roman" w:cs="Times New Roman"/>
          <w:sz w:val="24"/>
          <w:szCs w:val="24"/>
        </w:rPr>
        <w:t>karşılaştırılabilirlik</w:t>
      </w:r>
      <w:proofErr w:type="spellEnd"/>
      <w:r w:rsidR="00DC471C" w:rsidRPr="00FF4584">
        <w:rPr>
          <w:rFonts w:ascii="Times New Roman" w:eastAsia="Calibri" w:hAnsi="Times New Roman" w:cs="Times New Roman"/>
          <w:sz w:val="24"/>
          <w:szCs w:val="24"/>
        </w:rPr>
        <w:t xml:space="preserve"> uygulaması için nicel aralıklar oluşturulmalıdır. Bu aralıklar, öncelikle referans tıbbi ürünün ölçülmüş kalite </w:t>
      </w:r>
      <w:proofErr w:type="gramStart"/>
      <w:r w:rsidR="009360AD" w:rsidRPr="00FF4584">
        <w:rPr>
          <w:rFonts w:ascii="Times New Roman" w:eastAsia="Calibri" w:hAnsi="Times New Roman" w:cs="Times New Roman"/>
          <w:sz w:val="24"/>
          <w:szCs w:val="24"/>
        </w:rPr>
        <w:t xml:space="preserve">göstergelerine </w:t>
      </w:r>
      <w:r w:rsidR="00DC471C" w:rsidRPr="00FF4584">
        <w:rPr>
          <w:rFonts w:ascii="Times New Roman" w:eastAsia="Calibri" w:hAnsi="Times New Roman" w:cs="Times New Roman"/>
          <w:sz w:val="24"/>
          <w:szCs w:val="24"/>
        </w:rPr>
        <w:t xml:space="preserve"> dayalı</w:t>
      </w:r>
      <w:proofErr w:type="gramEnd"/>
      <w:r w:rsidR="00DC471C" w:rsidRPr="00FF4584">
        <w:rPr>
          <w:rFonts w:ascii="Times New Roman" w:eastAsia="Calibri" w:hAnsi="Times New Roman" w:cs="Times New Roman"/>
          <w:sz w:val="24"/>
          <w:szCs w:val="24"/>
        </w:rPr>
        <w:t xml:space="preserve"> olmalıdır ve aksi durum gerekçelendirilmediği sürece, temsili referans tıbbi ürün </w:t>
      </w:r>
      <w:r w:rsidR="002C4899" w:rsidRPr="00FF4584">
        <w:rPr>
          <w:rFonts w:ascii="Times New Roman" w:eastAsia="Calibri" w:hAnsi="Times New Roman" w:cs="Times New Roman"/>
          <w:sz w:val="24"/>
          <w:szCs w:val="24"/>
        </w:rPr>
        <w:t xml:space="preserve">serilerinin </w:t>
      </w:r>
      <w:r w:rsidR="00DC471C" w:rsidRPr="00FF4584">
        <w:rPr>
          <w:rFonts w:ascii="Times New Roman" w:eastAsia="Calibri" w:hAnsi="Times New Roman" w:cs="Times New Roman"/>
          <w:sz w:val="24"/>
          <w:szCs w:val="24"/>
        </w:rPr>
        <w:t>değişkenlik aralığından daha geniş olmamalıdır. Aralıkların uygunluğu</w:t>
      </w:r>
      <w:r w:rsidR="00276ABF" w:rsidRPr="00FF4584">
        <w:rPr>
          <w:rFonts w:ascii="Times New Roman" w:eastAsia="Calibri" w:hAnsi="Times New Roman" w:cs="Times New Roman"/>
          <w:sz w:val="24"/>
          <w:szCs w:val="24"/>
        </w:rPr>
        <w:t>;</w:t>
      </w:r>
      <w:r w:rsidR="00DC471C" w:rsidRPr="00FF4584">
        <w:rPr>
          <w:rFonts w:ascii="Times New Roman" w:eastAsia="Calibri" w:hAnsi="Times New Roman" w:cs="Times New Roman"/>
          <w:sz w:val="24"/>
          <w:szCs w:val="24"/>
        </w:rPr>
        <w:t xml:space="preserve"> test edilen referans tıbbi ürün serilerinin sayısı, araştırılan kalite özelliği, testler sırasında </w:t>
      </w:r>
      <w:r w:rsidR="002C4899" w:rsidRPr="00FF4584">
        <w:rPr>
          <w:rFonts w:ascii="Times New Roman" w:eastAsia="Calibri" w:hAnsi="Times New Roman" w:cs="Times New Roman"/>
          <w:sz w:val="24"/>
          <w:szCs w:val="24"/>
        </w:rPr>
        <w:t xml:space="preserve">serilerin </w:t>
      </w:r>
      <w:r w:rsidR="00DC471C" w:rsidRPr="00FF4584">
        <w:rPr>
          <w:rFonts w:ascii="Times New Roman" w:eastAsia="Calibri" w:hAnsi="Times New Roman" w:cs="Times New Roman"/>
          <w:sz w:val="24"/>
          <w:szCs w:val="24"/>
        </w:rPr>
        <w:t>yaşı ve kullanılan test yöntemi dikkate alınarak tartışılmalıdır.</w:t>
      </w:r>
      <w:r w:rsidR="00923CEB"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Kalite nitelikleri için aralıklar oluşturmak amacıyla betimleyici bir istatistiksel yaklaşım, eğer uygun şekilde gerekçelendirilir ise, kullanılabilir.</w:t>
      </w:r>
    </w:p>
    <w:p w14:paraId="22FB279B" w14:textId="77777777" w:rsidR="00276ABF" w:rsidRPr="00FF4584" w:rsidRDefault="00276ABF" w:rsidP="00327D21">
      <w:pPr>
        <w:spacing w:after="0" w:line="276" w:lineRule="auto"/>
        <w:jc w:val="both"/>
        <w:rPr>
          <w:rFonts w:ascii="Times New Roman" w:eastAsia="Calibri" w:hAnsi="Times New Roman" w:cs="Times New Roman"/>
          <w:sz w:val="24"/>
          <w:szCs w:val="24"/>
        </w:rPr>
      </w:pPr>
    </w:p>
    <w:p w14:paraId="182B2A18" w14:textId="77777777" w:rsidR="00DC471C" w:rsidRPr="00FF4584" w:rsidRDefault="0009120D" w:rsidP="00327D2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C471C" w:rsidRPr="00FF4584">
        <w:rPr>
          <w:rFonts w:ascii="Times New Roman" w:eastAsia="Calibri" w:hAnsi="Times New Roman" w:cs="Times New Roman"/>
          <w:sz w:val="24"/>
          <w:szCs w:val="24"/>
        </w:rPr>
        <w:t xml:space="preserve"> Referans tıbbi ürüne karşı </w:t>
      </w:r>
      <w:proofErr w:type="spellStart"/>
      <w:r w:rsidR="00DC471C" w:rsidRPr="00FF4584">
        <w:rPr>
          <w:rFonts w:ascii="Times New Roman" w:eastAsia="Calibri" w:hAnsi="Times New Roman" w:cs="Times New Roman"/>
          <w:sz w:val="24"/>
          <w:szCs w:val="24"/>
        </w:rPr>
        <w:t>biyobenzer</w:t>
      </w:r>
      <w:proofErr w:type="spellEnd"/>
      <w:r w:rsidR="00DC471C" w:rsidRPr="00FF4584">
        <w:rPr>
          <w:rFonts w:ascii="Times New Roman" w:eastAsia="Calibri" w:hAnsi="Times New Roman" w:cs="Times New Roman"/>
          <w:sz w:val="24"/>
          <w:szCs w:val="24"/>
        </w:rPr>
        <w:t xml:space="preserve"> </w:t>
      </w:r>
      <w:proofErr w:type="spellStart"/>
      <w:r w:rsidR="00DC471C" w:rsidRPr="00FF4584">
        <w:rPr>
          <w:rFonts w:ascii="Times New Roman" w:eastAsia="Calibri" w:hAnsi="Times New Roman" w:cs="Times New Roman"/>
          <w:sz w:val="24"/>
          <w:szCs w:val="24"/>
        </w:rPr>
        <w:t>karşılaştırılabilirlik</w:t>
      </w:r>
      <w:proofErr w:type="spellEnd"/>
      <w:r w:rsidR="00DC471C" w:rsidRPr="00FF4584">
        <w:rPr>
          <w:rFonts w:ascii="Times New Roman" w:eastAsia="Calibri" w:hAnsi="Times New Roman" w:cs="Times New Roman"/>
          <w:sz w:val="24"/>
          <w:szCs w:val="24"/>
        </w:rPr>
        <w:t xml:space="preserve"> uygulaması için kullanılan kabul edilebilir aralıkların, serbest bırakma </w:t>
      </w:r>
      <w:proofErr w:type="spellStart"/>
      <w:r w:rsidR="00DC471C" w:rsidRPr="00FF4584">
        <w:rPr>
          <w:rFonts w:ascii="Times New Roman" w:eastAsia="Calibri" w:hAnsi="Times New Roman" w:cs="Times New Roman"/>
          <w:sz w:val="24"/>
          <w:szCs w:val="24"/>
        </w:rPr>
        <w:t>spesifikasyonlarından</w:t>
      </w:r>
      <w:proofErr w:type="spellEnd"/>
      <w:r w:rsidR="00DC471C" w:rsidRPr="00FF4584">
        <w:rPr>
          <w:rFonts w:ascii="Times New Roman" w:eastAsia="Calibri" w:hAnsi="Times New Roman" w:cs="Times New Roman"/>
          <w:sz w:val="24"/>
          <w:szCs w:val="24"/>
        </w:rPr>
        <w:t xml:space="preserve"> ayrı olarak ele alınması gerektiğine dikkat edilmelidir</w:t>
      </w:r>
      <w:r w:rsidR="00A00E04" w:rsidRPr="00FF4584">
        <w:rPr>
          <w:rFonts w:ascii="Times New Roman" w:eastAsia="Calibri" w:hAnsi="Times New Roman" w:cs="Times New Roman"/>
          <w:sz w:val="24"/>
          <w:szCs w:val="24"/>
        </w:rPr>
        <w:t>.</w:t>
      </w:r>
    </w:p>
    <w:p w14:paraId="4AFAAAD1" w14:textId="77777777" w:rsidR="00DC471C" w:rsidRPr="00FF4584" w:rsidRDefault="00DC471C" w:rsidP="00327D21">
      <w:pPr>
        <w:spacing w:after="0" w:line="276" w:lineRule="auto"/>
        <w:rPr>
          <w:rFonts w:ascii="Times New Roman" w:eastAsia="Calibri" w:hAnsi="Times New Roman" w:cs="Times New Roman"/>
          <w:sz w:val="24"/>
          <w:szCs w:val="24"/>
        </w:rPr>
      </w:pPr>
    </w:p>
    <w:p w14:paraId="0D77F470" w14:textId="04BFD695" w:rsidR="00A475FD" w:rsidRDefault="005B311D" w:rsidP="0009120D">
      <w:pPr>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w:t>
      </w:r>
      <w:r w:rsidR="0009120D">
        <w:rPr>
          <w:rFonts w:ascii="Times New Roman" w:eastAsia="Calibri" w:hAnsi="Times New Roman" w:cs="Times New Roman"/>
          <w:sz w:val="24"/>
          <w:szCs w:val="24"/>
        </w:rPr>
        <w:t>6</w:t>
      </w:r>
      <w:r w:rsidRPr="00FF4584">
        <w:rPr>
          <w:rFonts w:ascii="Times New Roman" w:eastAsia="Calibri" w:hAnsi="Times New Roman" w:cs="Times New Roman"/>
          <w:sz w:val="24"/>
          <w:szCs w:val="24"/>
        </w:rPr>
        <w:t>)</w:t>
      </w:r>
      <w:r w:rsidR="00687DD7" w:rsidRPr="00FF4584">
        <w:rPr>
          <w:rFonts w:ascii="Times New Roman" w:eastAsia="Calibri" w:hAnsi="Times New Roman" w:cs="Times New Roman"/>
          <w:sz w:val="24"/>
          <w:szCs w:val="24"/>
        </w:rPr>
        <w:t xml:space="preserve"> Referans tıbbi ürünün üretim süreci zaman içinde değişebilir ve bu da </w:t>
      </w:r>
      <w:proofErr w:type="spellStart"/>
      <w:r w:rsidR="003C7CE3">
        <w:rPr>
          <w:rFonts w:ascii="Times New Roman" w:eastAsia="Calibri" w:hAnsi="Times New Roman" w:cs="Times New Roman"/>
          <w:sz w:val="24"/>
          <w:szCs w:val="24"/>
        </w:rPr>
        <w:t>HÜKP</w:t>
      </w:r>
      <w:r w:rsidR="00687DD7" w:rsidRPr="00FF4584">
        <w:rPr>
          <w:rFonts w:ascii="Times New Roman" w:eastAsia="Calibri" w:hAnsi="Times New Roman" w:cs="Times New Roman"/>
          <w:sz w:val="24"/>
          <w:szCs w:val="24"/>
        </w:rPr>
        <w:t>’sinde</w:t>
      </w:r>
      <w:proofErr w:type="spellEnd"/>
      <w:r w:rsidR="00687DD7" w:rsidRPr="00FF4584">
        <w:rPr>
          <w:rFonts w:ascii="Times New Roman" w:eastAsia="Calibri" w:hAnsi="Times New Roman" w:cs="Times New Roman"/>
          <w:sz w:val="24"/>
          <w:szCs w:val="24"/>
        </w:rPr>
        <w:t xml:space="preserve"> saptanabilir farklılıklara yol açabilir. Bu durum bir </w:t>
      </w:r>
      <w:proofErr w:type="spellStart"/>
      <w:r w:rsidR="00687DD7" w:rsidRPr="00FF4584">
        <w:rPr>
          <w:rFonts w:ascii="Times New Roman" w:eastAsia="Calibri" w:hAnsi="Times New Roman" w:cs="Times New Roman"/>
          <w:sz w:val="24"/>
          <w:szCs w:val="24"/>
        </w:rPr>
        <w:t>biyobenzer</w:t>
      </w:r>
      <w:proofErr w:type="spellEnd"/>
      <w:r w:rsidR="00687DD7" w:rsidRPr="00FF4584">
        <w:rPr>
          <w:rFonts w:ascii="Times New Roman" w:eastAsia="Calibri" w:hAnsi="Times New Roman" w:cs="Times New Roman"/>
          <w:sz w:val="24"/>
          <w:szCs w:val="24"/>
        </w:rPr>
        <w:t xml:space="preserve"> tıbbi ürün geliştirilirken meydana gelebilir. </w:t>
      </w:r>
      <w:r w:rsidR="00473F40" w:rsidRPr="00FF4584">
        <w:rPr>
          <w:rFonts w:ascii="Times New Roman" w:eastAsia="Calibri" w:hAnsi="Times New Roman" w:cs="Times New Roman"/>
          <w:sz w:val="24"/>
          <w:szCs w:val="24"/>
        </w:rPr>
        <w:t>Referans tıbbi üründe g</w:t>
      </w:r>
      <w:r w:rsidR="00687DD7" w:rsidRPr="00FF4584">
        <w:rPr>
          <w:rFonts w:ascii="Times New Roman" w:eastAsia="Calibri" w:hAnsi="Times New Roman" w:cs="Times New Roman"/>
          <w:sz w:val="24"/>
          <w:szCs w:val="24"/>
        </w:rPr>
        <w:t xml:space="preserve">özlenen </w:t>
      </w:r>
      <w:r w:rsidR="00473F40" w:rsidRPr="00FF4584">
        <w:rPr>
          <w:rFonts w:ascii="Times New Roman" w:eastAsia="Calibri" w:hAnsi="Times New Roman" w:cs="Times New Roman"/>
          <w:sz w:val="24"/>
          <w:szCs w:val="24"/>
        </w:rPr>
        <w:t xml:space="preserve">bu </w:t>
      </w:r>
      <w:r w:rsidR="00687DD7" w:rsidRPr="00FF4584">
        <w:rPr>
          <w:rFonts w:ascii="Times New Roman" w:eastAsia="Calibri" w:hAnsi="Times New Roman" w:cs="Times New Roman"/>
          <w:sz w:val="24"/>
          <w:szCs w:val="24"/>
        </w:rPr>
        <w:t xml:space="preserve">değişikliklerin öncesinde ve sonrasında kalite </w:t>
      </w:r>
      <w:proofErr w:type="gramStart"/>
      <w:r w:rsidR="00687DD7" w:rsidRPr="00FF4584">
        <w:rPr>
          <w:rFonts w:ascii="Times New Roman" w:eastAsia="Calibri" w:hAnsi="Times New Roman" w:cs="Times New Roman"/>
          <w:sz w:val="24"/>
          <w:szCs w:val="24"/>
        </w:rPr>
        <w:t>profilindeki</w:t>
      </w:r>
      <w:proofErr w:type="gramEnd"/>
      <w:r w:rsidR="00687DD7" w:rsidRPr="00FF4584">
        <w:rPr>
          <w:rFonts w:ascii="Times New Roman" w:eastAsia="Calibri" w:hAnsi="Times New Roman" w:cs="Times New Roman"/>
          <w:sz w:val="24"/>
          <w:szCs w:val="24"/>
        </w:rPr>
        <w:t xml:space="preserve"> sapmalar ile ilgili aralıklar, kalite düzeyinde </w:t>
      </w:r>
      <w:proofErr w:type="spellStart"/>
      <w:r w:rsidR="00687DD7" w:rsidRPr="00FF4584">
        <w:rPr>
          <w:rFonts w:ascii="Times New Roman" w:eastAsia="Calibri" w:hAnsi="Times New Roman" w:cs="Times New Roman"/>
          <w:sz w:val="24"/>
          <w:szCs w:val="24"/>
        </w:rPr>
        <w:t>biyobenzer</w:t>
      </w:r>
      <w:proofErr w:type="spellEnd"/>
      <w:r w:rsidR="00687DD7" w:rsidRPr="00FF4584">
        <w:rPr>
          <w:rFonts w:ascii="Times New Roman" w:eastAsia="Calibri" w:hAnsi="Times New Roman" w:cs="Times New Roman"/>
          <w:sz w:val="24"/>
          <w:szCs w:val="24"/>
        </w:rPr>
        <w:t xml:space="preserve"> </w:t>
      </w:r>
      <w:proofErr w:type="spellStart"/>
      <w:r w:rsidR="00687DD7" w:rsidRPr="00FF4584">
        <w:rPr>
          <w:rFonts w:ascii="Times New Roman" w:eastAsia="Calibri" w:hAnsi="Times New Roman" w:cs="Times New Roman"/>
          <w:sz w:val="24"/>
          <w:szCs w:val="24"/>
        </w:rPr>
        <w:t>karşılaştırılabilirlik</w:t>
      </w:r>
      <w:proofErr w:type="spellEnd"/>
      <w:r w:rsidR="00687DD7" w:rsidRPr="00FF4584">
        <w:rPr>
          <w:rFonts w:ascii="Times New Roman" w:eastAsia="Calibri" w:hAnsi="Times New Roman" w:cs="Times New Roman"/>
          <w:sz w:val="24"/>
          <w:szCs w:val="24"/>
        </w:rPr>
        <w:t xml:space="preserve"> uygulamasını desteklemek için kullanılabilir. Referans tıbbi ürünün bir kalite özelliği için tespit edilen aralığın/aralıkların içinde ya da dışında bulunan kalite göstergeleri, bunların güvenlilik ve etkililik üzerindeki potansiyel etkileri bakımından doğrulanmalıdır.</w:t>
      </w:r>
      <w:r w:rsidR="00687DD7" w:rsidRPr="00E63F4E">
        <w:rPr>
          <w:rFonts w:ascii="Times New Roman" w:eastAsia="Calibri" w:hAnsi="Times New Roman" w:cs="Times New Roman"/>
          <w:sz w:val="24"/>
          <w:szCs w:val="24"/>
        </w:rPr>
        <w:t xml:space="preserve"> </w:t>
      </w:r>
    </w:p>
    <w:p w14:paraId="4DE91E5D" w14:textId="77777777" w:rsidR="0009120D" w:rsidRPr="0009120D" w:rsidRDefault="0009120D" w:rsidP="0009120D">
      <w:pPr>
        <w:jc w:val="both"/>
        <w:rPr>
          <w:rFonts w:ascii="Times New Roman" w:eastAsia="Calibri" w:hAnsi="Times New Roman" w:cs="Times New Roman"/>
          <w:sz w:val="24"/>
          <w:szCs w:val="24"/>
        </w:rPr>
      </w:pPr>
    </w:p>
    <w:p w14:paraId="033EC00A" w14:textId="77777777" w:rsidR="00DC471C" w:rsidRPr="001F447B" w:rsidRDefault="00DC471C" w:rsidP="00327D21">
      <w:pPr>
        <w:spacing w:line="276" w:lineRule="auto"/>
        <w:jc w:val="both"/>
        <w:rPr>
          <w:rFonts w:ascii="Times New Roman" w:eastAsia="Calibri" w:hAnsi="Times New Roman" w:cs="Times New Roman"/>
          <w:b/>
          <w:sz w:val="24"/>
          <w:szCs w:val="24"/>
        </w:rPr>
      </w:pPr>
      <w:r w:rsidRPr="00E63F4E">
        <w:rPr>
          <w:rFonts w:ascii="Times New Roman" w:eastAsia="Calibri" w:hAnsi="Times New Roman" w:cs="Times New Roman"/>
          <w:b/>
          <w:sz w:val="24"/>
          <w:szCs w:val="24"/>
        </w:rPr>
        <w:t xml:space="preserve">Analitik Değerlendirme </w:t>
      </w:r>
    </w:p>
    <w:p w14:paraId="1959E27A" w14:textId="77777777" w:rsidR="007E6FC3" w:rsidRPr="00FF4584" w:rsidRDefault="00DC471C" w:rsidP="00327D21">
      <w:pPr>
        <w:spacing w:after="0" w:line="276" w:lineRule="auto"/>
        <w:jc w:val="both"/>
        <w:rPr>
          <w:rFonts w:ascii="Times New Roman" w:eastAsia="Calibri" w:hAnsi="Times New Roman" w:cs="Times New Roman"/>
          <w:sz w:val="24"/>
          <w:szCs w:val="24"/>
        </w:rPr>
      </w:pPr>
      <w:r w:rsidRPr="001F447B">
        <w:rPr>
          <w:rFonts w:ascii="Times New Roman" w:eastAsia="Calibri" w:hAnsi="Times New Roman" w:cs="Times New Roman"/>
          <w:b/>
          <w:sz w:val="24"/>
          <w:szCs w:val="24"/>
        </w:rPr>
        <w:t>MADDE 1</w:t>
      </w:r>
      <w:r w:rsidR="00561031">
        <w:rPr>
          <w:rFonts w:ascii="Times New Roman" w:eastAsia="Calibri" w:hAnsi="Times New Roman" w:cs="Times New Roman"/>
          <w:b/>
          <w:sz w:val="24"/>
          <w:szCs w:val="24"/>
        </w:rPr>
        <w:t xml:space="preserve">2 </w:t>
      </w:r>
      <w:r w:rsidRPr="001F447B">
        <w:rPr>
          <w:rFonts w:ascii="Times New Roman" w:eastAsia="Calibri" w:hAnsi="Times New Roman" w:cs="Times New Roman"/>
          <w:b/>
          <w:sz w:val="24"/>
          <w:szCs w:val="24"/>
        </w:rPr>
        <w:t xml:space="preserve">- </w:t>
      </w:r>
      <w:r w:rsidRPr="008C24BD">
        <w:rPr>
          <w:rFonts w:ascii="Times New Roman" w:eastAsia="Calibri" w:hAnsi="Times New Roman" w:cs="Times New Roman"/>
          <w:sz w:val="24"/>
          <w:szCs w:val="24"/>
        </w:rPr>
        <w:t>(1)</w:t>
      </w:r>
      <w:r w:rsidR="00502E74" w:rsidRPr="00465803">
        <w:rPr>
          <w:rFonts w:ascii="Times New Roman" w:eastAsia="Calibri" w:hAnsi="Times New Roman" w:cs="Times New Roman"/>
          <w:sz w:val="24"/>
          <w:szCs w:val="24"/>
        </w:rPr>
        <w:t xml:space="preserve"> </w:t>
      </w:r>
      <w:proofErr w:type="spellStart"/>
      <w:r w:rsidR="00502E74" w:rsidRPr="00FF4584">
        <w:rPr>
          <w:rFonts w:ascii="Times New Roman" w:eastAsia="Calibri" w:hAnsi="Times New Roman" w:cs="Times New Roman"/>
          <w:sz w:val="24"/>
          <w:szCs w:val="24"/>
        </w:rPr>
        <w:t>Biyobenzer</w:t>
      </w:r>
      <w:proofErr w:type="spellEnd"/>
      <w:r w:rsidR="00BE40A4" w:rsidRPr="00FF4584">
        <w:rPr>
          <w:rFonts w:ascii="Times New Roman" w:eastAsia="Calibri" w:hAnsi="Times New Roman" w:cs="Times New Roman"/>
          <w:sz w:val="24"/>
          <w:szCs w:val="24"/>
        </w:rPr>
        <w:t xml:space="preserve"> tıbbi ürünün</w:t>
      </w:r>
      <w:r w:rsidR="00502E74" w:rsidRPr="00FF4584">
        <w:rPr>
          <w:rFonts w:ascii="Times New Roman" w:eastAsia="Calibri" w:hAnsi="Times New Roman" w:cs="Times New Roman"/>
          <w:sz w:val="24"/>
          <w:szCs w:val="24"/>
        </w:rPr>
        <w:t xml:space="preserve"> kalite yönünden referans tıbbi ürünle karşılaştırılabilir olduğunu garantilemek için</w:t>
      </w:r>
      <w:r w:rsidR="00502E74" w:rsidRPr="00FF4584" w:rsidDel="00EF08CE">
        <w:rPr>
          <w:rFonts w:ascii="Times New Roman" w:eastAsia="Calibri" w:hAnsi="Times New Roman" w:cs="Times New Roman"/>
          <w:sz w:val="24"/>
          <w:szCs w:val="24"/>
        </w:rPr>
        <w:t xml:space="preserve"> </w:t>
      </w:r>
      <w:proofErr w:type="spellStart"/>
      <w:r w:rsidR="00502E74" w:rsidRPr="00FF4584">
        <w:rPr>
          <w:rFonts w:ascii="Times New Roman" w:eastAsia="Calibri" w:hAnsi="Times New Roman" w:cs="Times New Roman"/>
          <w:sz w:val="24"/>
          <w:szCs w:val="24"/>
        </w:rPr>
        <w:t>biyobenzer</w:t>
      </w:r>
      <w:proofErr w:type="spellEnd"/>
      <w:r w:rsidR="00502E74"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ürün </w:t>
      </w:r>
      <w:r w:rsidR="00502E74" w:rsidRPr="00FF4584">
        <w:rPr>
          <w:rFonts w:ascii="Times New Roman" w:eastAsia="Calibri" w:hAnsi="Times New Roman" w:cs="Times New Roman"/>
          <w:sz w:val="24"/>
          <w:szCs w:val="24"/>
        </w:rPr>
        <w:t xml:space="preserve">ve referans tıbbi üründe birbirine paralel olarak en gelişmiş teknolojik yöntemlerle kapsamlı </w:t>
      </w:r>
      <w:proofErr w:type="spellStart"/>
      <w:r w:rsidR="00502E74" w:rsidRPr="00FF4584">
        <w:rPr>
          <w:rFonts w:ascii="Times New Roman" w:eastAsia="Calibri" w:hAnsi="Times New Roman" w:cs="Times New Roman"/>
          <w:sz w:val="24"/>
          <w:szCs w:val="24"/>
        </w:rPr>
        <w:t>karakterizasyon</w:t>
      </w:r>
      <w:proofErr w:type="spellEnd"/>
      <w:r w:rsidR="00502E74" w:rsidRPr="00FF4584">
        <w:rPr>
          <w:rFonts w:ascii="Times New Roman" w:eastAsia="Calibri" w:hAnsi="Times New Roman" w:cs="Times New Roman"/>
          <w:sz w:val="24"/>
          <w:szCs w:val="24"/>
        </w:rPr>
        <w:t xml:space="preserve"> çalışmaları yapılmalıdır. </w:t>
      </w:r>
      <w:proofErr w:type="spellStart"/>
      <w:r w:rsidR="00502E74" w:rsidRPr="00FF4584">
        <w:rPr>
          <w:rFonts w:ascii="Times New Roman" w:eastAsia="Calibri" w:hAnsi="Times New Roman" w:cs="Times New Roman"/>
          <w:sz w:val="24"/>
          <w:szCs w:val="24"/>
        </w:rPr>
        <w:t>Karşılaştırılabilirlik</w:t>
      </w:r>
      <w:proofErr w:type="spellEnd"/>
      <w:r w:rsidR="00502E74" w:rsidRPr="00FF4584">
        <w:rPr>
          <w:rFonts w:ascii="Times New Roman" w:eastAsia="Calibri" w:hAnsi="Times New Roman" w:cs="Times New Roman"/>
          <w:sz w:val="24"/>
          <w:szCs w:val="24"/>
        </w:rPr>
        <w:t xml:space="preserve"> çalışmalarında kullanmak amacı ile seçilmiş yöntemlerin, kalite ölçümüyle ilgili tüm durumlardaki (ör; ilgili varyantların yüksek hassasiyet ile saptanması gibi) en küçük farklılıkları dahi tayin edebileceğini kanıtlaması başvuru sahibi üreticinin sorumluluğundadır. Kalite veri paketinin ayrılmaz bir parçasını oluşturmaları nedeniyle, </w:t>
      </w:r>
      <w:proofErr w:type="spellStart"/>
      <w:r w:rsidR="00502E74" w:rsidRPr="00FF4584">
        <w:rPr>
          <w:rFonts w:ascii="Times New Roman" w:eastAsia="Calibri" w:hAnsi="Times New Roman" w:cs="Times New Roman"/>
          <w:sz w:val="24"/>
          <w:szCs w:val="24"/>
        </w:rPr>
        <w:t>karakterizasyon</w:t>
      </w:r>
      <w:proofErr w:type="spellEnd"/>
      <w:r w:rsidR="00502E74" w:rsidRPr="00FF4584">
        <w:rPr>
          <w:rFonts w:ascii="Times New Roman" w:eastAsia="Calibri" w:hAnsi="Times New Roman" w:cs="Times New Roman"/>
          <w:sz w:val="24"/>
          <w:szCs w:val="24"/>
        </w:rPr>
        <w:t xml:space="preserve"> çalışmalarında kullanılan yöntemler, </w:t>
      </w:r>
      <w:proofErr w:type="spellStart"/>
      <w:r w:rsidR="00502E74" w:rsidRPr="00FF4584">
        <w:rPr>
          <w:rFonts w:ascii="Times New Roman" w:eastAsia="Calibri" w:hAnsi="Times New Roman" w:cs="Times New Roman"/>
          <w:sz w:val="24"/>
          <w:szCs w:val="24"/>
        </w:rPr>
        <w:t>karşılaştırılabilirlik</w:t>
      </w:r>
      <w:proofErr w:type="spellEnd"/>
      <w:r w:rsidR="00502E74" w:rsidRPr="00FF4584">
        <w:rPr>
          <w:rFonts w:ascii="Times New Roman" w:eastAsia="Calibri" w:hAnsi="Times New Roman" w:cs="Times New Roman"/>
          <w:sz w:val="24"/>
          <w:szCs w:val="24"/>
        </w:rPr>
        <w:t xml:space="preserve"> amacına uygun nitelikte olmalı ve kılavuzlara göre valide edilmelidir. Yöntem yeterliliği ve standardizasyonu için, varsa standart ve referans materyaller (</w:t>
      </w:r>
      <w:r w:rsidR="00E83FC3" w:rsidRPr="00FF4584">
        <w:rPr>
          <w:rFonts w:ascii="Times New Roman" w:eastAsia="Calibri" w:hAnsi="Times New Roman" w:cs="Times New Roman"/>
          <w:sz w:val="24"/>
          <w:szCs w:val="24"/>
        </w:rPr>
        <w:t xml:space="preserve">ör; </w:t>
      </w:r>
      <w:proofErr w:type="spellStart"/>
      <w:r w:rsidR="00E83FC3" w:rsidRPr="00FF4584">
        <w:rPr>
          <w:rFonts w:ascii="Times New Roman" w:eastAsia="Calibri" w:hAnsi="Times New Roman" w:cs="Times New Roman"/>
          <w:sz w:val="24"/>
          <w:szCs w:val="24"/>
        </w:rPr>
        <w:t>farmakope</w:t>
      </w:r>
      <w:proofErr w:type="spellEnd"/>
      <w:r w:rsidR="004A26CF" w:rsidRPr="00FF4584">
        <w:rPr>
          <w:rFonts w:ascii="Times New Roman" w:eastAsia="Calibri" w:hAnsi="Times New Roman" w:cs="Times New Roman"/>
          <w:sz w:val="24"/>
          <w:szCs w:val="24"/>
        </w:rPr>
        <w:t>,</w:t>
      </w:r>
      <w:r w:rsidR="00E83FC3" w:rsidRPr="00FF4584">
        <w:rPr>
          <w:rFonts w:ascii="Times New Roman" w:eastAsia="Calibri" w:hAnsi="Times New Roman" w:cs="Times New Roman"/>
          <w:sz w:val="24"/>
          <w:szCs w:val="24"/>
        </w:rPr>
        <w:t xml:space="preserve"> </w:t>
      </w:r>
      <w:r w:rsidR="004A26CF" w:rsidRPr="00FF4584">
        <w:rPr>
          <w:rFonts w:ascii="Times New Roman" w:eastAsia="Calibri" w:hAnsi="Times New Roman" w:cs="Times New Roman"/>
          <w:sz w:val="24"/>
          <w:szCs w:val="24"/>
        </w:rPr>
        <w:t xml:space="preserve">DSÖ </w:t>
      </w:r>
      <w:r w:rsidR="00E83FC3" w:rsidRPr="00FF4584">
        <w:rPr>
          <w:rFonts w:ascii="Times New Roman" w:eastAsia="Calibri" w:hAnsi="Times New Roman" w:cs="Times New Roman"/>
          <w:sz w:val="24"/>
          <w:szCs w:val="24"/>
        </w:rPr>
        <w:t>standartları</w:t>
      </w:r>
      <w:r w:rsidR="00070BA1">
        <w:rPr>
          <w:rFonts w:ascii="Times New Roman" w:eastAsia="Calibri" w:hAnsi="Times New Roman" w:cs="Times New Roman"/>
          <w:sz w:val="24"/>
          <w:szCs w:val="24"/>
        </w:rPr>
        <w:t xml:space="preserve"> gibi</w:t>
      </w:r>
      <w:r w:rsidR="00502E74" w:rsidRPr="00FF4584">
        <w:rPr>
          <w:rFonts w:ascii="Times New Roman" w:eastAsia="Calibri" w:hAnsi="Times New Roman" w:cs="Times New Roman"/>
          <w:sz w:val="24"/>
          <w:szCs w:val="24"/>
        </w:rPr>
        <w:t xml:space="preserve">) kullanılmalıdır. </w:t>
      </w:r>
      <w:r w:rsidR="004A26CF" w:rsidRPr="00FF4584">
        <w:rPr>
          <w:rFonts w:ascii="Times New Roman" w:eastAsia="Calibri" w:hAnsi="Times New Roman" w:cs="Times New Roman"/>
          <w:sz w:val="24"/>
          <w:szCs w:val="24"/>
        </w:rPr>
        <w:t>Referans standartlar, referans tıbbi ürün olarak kullanılamaz.</w:t>
      </w:r>
    </w:p>
    <w:p w14:paraId="2852278F" w14:textId="77777777" w:rsidR="00DC471C" w:rsidRPr="00FF4584" w:rsidRDefault="00DC471C" w:rsidP="00327D21">
      <w:pPr>
        <w:spacing w:after="0" w:line="276" w:lineRule="auto"/>
        <w:rPr>
          <w:rFonts w:ascii="Times New Roman" w:eastAsia="Calibri" w:hAnsi="Times New Roman" w:cs="Times New Roman"/>
          <w:sz w:val="24"/>
          <w:szCs w:val="24"/>
        </w:rPr>
      </w:pPr>
    </w:p>
    <w:p w14:paraId="72C45D22" w14:textId="77777777" w:rsidR="005A6E89" w:rsidRPr="00ED3809" w:rsidRDefault="005B311D" w:rsidP="00E63F4E">
      <w:pPr>
        <w:spacing w:after="0"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(2)</w:t>
      </w:r>
      <w:r w:rsidR="00591934" w:rsidRPr="00FF4584">
        <w:rPr>
          <w:rFonts w:ascii="Times New Roman" w:eastAsia="Calibri" w:hAnsi="Times New Roman" w:cs="Times New Roman"/>
          <w:sz w:val="24"/>
          <w:szCs w:val="24"/>
        </w:rPr>
        <w:t xml:space="preserve"> </w:t>
      </w:r>
      <w:r w:rsidR="007E6FC3" w:rsidRPr="00FF4584">
        <w:rPr>
          <w:rFonts w:ascii="Times New Roman" w:eastAsia="Calibri" w:hAnsi="Times New Roman" w:cs="Times New Roman"/>
          <w:sz w:val="24"/>
          <w:szCs w:val="24"/>
        </w:rPr>
        <w:t xml:space="preserve">Bazı analitik yöntemler, </w:t>
      </w:r>
      <w:proofErr w:type="spellStart"/>
      <w:r w:rsidR="007E6FC3" w:rsidRPr="00FF4584">
        <w:rPr>
          <w:rFonts w:ascii="Times New Roman" w:eastAsia="Calibri" w:hAnsi="Times New Roman" w:cs="Times New Roman"/>
          <w:sz w:val="24"/>
          <w:szCs w:val="24"/>
        </w:rPr>
        <w:t>biyobenzer</w:t>
      </w:r>
      <w:proofErr w:type="spellEnd"/>
      <w:r w:rsidR="007E6FC3"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ürün </w:t>
      </w:r>
      <w:r w:rsidR="007E6FC3" w:rsidRPr="00FF4584">
        <w:rPr>
          <w:rFonts w:ascii="Times New Roman" w:eastAsia="Calibri" w:hAnsi="Times New Roman" w:cs="Times New Roman"/>
          <w:sz w:val="24"/>
          <w:szCs w:val="24"/>
        </w:rPr>
        <w:t>ve referans tıbbi ürünün doğrudan veya paralel analizi için uygun olmayabilir veya sınırlı bilgiler verebilir (</w:t>
      </w:r>
      <w:proofErr w:type="spellStart"/>
      <w:r w:rsidR="007E6FC3" w:rsidRPr="00FF4584">
        <w:rPr>
          <w:rFonts w:ascii="Times New Roman" w:eastAsia="Calibri" w:hAnsi="Times New Roman" w:cs="Times New Roman"/>
          <w:sz w:val="24"/>
          <w:szCs w:val="24"/>
        </w:rPr>
        <w:t>örn</w:t>
      </w:r>
      <w:proofErr w:type="spellEnd"/>
      <w:proofErr w:type="gramStart"/>
      <w:r w:rsidR="007E6FC3" w:rsidRPr="00FF4584">
        <w:rPr>
          <w:rFonts w:ascii="Times New Roman" w:eastAsia="Calibri" w:hAnsi="Times New Roman" w:cs="Times New Roman"/>
          <w:sz w:val="24"/>
          <w:szCs w:val="24"/>
        </w:rPr>
        <w:t>.,</w:t>
      </w:r>
      <w:proofErr w:type="gramEnd"/>
      <w:r w:rsidR="007E6FC3" w:rsidRPr="00FF4584">
        <w:rPr>
          <w:rFonts w:ascii="Times New Roman" w:eastAsia="Calibri" w:hAnsi="Times New Roman" w:cs="Times New Roman"/>
          <w:sz w:val="24"/>
          <w:szCs w:val="24"/>
        </w:rPr>
        <w:t xml:space="preserve"> etkin maddenin düşük konsantrasyonda olması ve/veya albümin gibi etkileşim gösterecek </w:t>
      </w:r>
      <w:r w:rsidR="00113835" w:rsidRPr="00FF4584">
        <w:rPr>
          <w:rFonts w:ascii="Times New Roman" w:eastAsia="Calibri" w:hAnsi="Times New Roman" w:cs="Times New Roman"/>
          <w:sz w:val="24"/>
          <w:szCs w:val="24"/>
        </w:rPr>
        <w:t>yardımcı madde</w:t>
      </w:r>
      <w:r w:rsidR="00C1485F" w:rsidRPr="00FF4584">
        <w:rPr>
          <w:rFonts w:ascii="Times New Roman" w:eastAsia="Calibri" w:hAnsi="Times New Roman" w:cs="Times New Roman"/>
          <w:sz w:val="24"/>
          <w:szCs w:val="24"/>
        </w:rPr>
        <w:t>l</w:t>
      </w:r>
      <w:r w:rsidR="00113835" w:rsidRPr="00FF4584">
        <w:rPr>
          <w:rFonts w:ascii="Times New Roman" w:eastAsia="Calibri" w:hAnsi="Times New Roman" w:cs="Times New Roman"/>
          <w:sz w:val="24"/>
          <w:szCs w:val="24"/>
        </w:rPr>
        <w:t>erin</w:t>
      </w:r>
      <w:r w:rsidR="00C1485F" w:rsidRPr="00FF4584">
        <w:rPr>
          <w:rFonts w:ascii="Times New Roman" w:eastAsia="Calibri" w:hAnsi="Times New Roman" w:cs="Times New Roman"/>
          <w:sz w:val="24"/>
          <w:szCs w:val="24"/>
        </w:rPr>
        <w:t xml:space="preserve"> </w:t>
      </w:r>
      <w:r w:rsidR="007E6FC3" w:rsidRPr="00FF4584">
        <w:rPr>
          <w:rFonts w:ascii="Times New Roman" w:eastAsia="Calibri" w:hAnsi="Times New Roman" w:cs="Times New Roman"/>
          <w:sz w:val="24"/>
          <w:szCs w:val="24"/>
        </w:rPr>
        <w:t xml:space="preserve">bulunması </w:t>
      </w:r>
      <w:r w:rsidR="008C7F70" w:rsidRPr="00FF4584">
        <w:rPr>
          <w:rFonts w:ascii="Times New Roman" w:eastAsia="Calibri" w:hAnsi="Times New Roman" w:cs="Times New Roman"/>
          <w:sz w:val="24"/>
          <w:szCs w:val="24"/>
        </w:rPr>
        <w:t>halinde</w:t>
      </w:r>
      <w:r w:rsidR="007E6FC3" w:rsidRPr="00FF4584">
        <w:rPr>
          <w:rFonts w:ascii="Times New Roman" w:eastAsia="Calibri" w:hAnsi="Times New Roman" w:cs="Times New Roman"/>
          <w:sz w:val="24"/>
          <w:szCs w:val="24"/>
        </w:rPr>
        <w:t xml:space="preserve">). </w:t>
      </w:r>
      <w:r w:rsidR="008C7F70" w:rsidRPr="00FF4584">
        <w:rPr>
          <w:rFonts w:ascii="Times New Roman" w:eastAsia="Calibri" w:hAnsi="Times New Roman" w:cs="Times New Roman"/>
          <w:sz w:val="24"/>
          <w:szCs w:val="24"/>
        </w:rPr>
        <w:t xml:space="preserve">Bu durumda, </w:t>
      </w:r>
      <w:r w:rsidR="00DC471C" w:rsidRPr="00FF4584">
        <w:rPr>
          <w:rFonts w:ascii="Times New Roman" w:eastAsia="Calibri" w:hAnsi="Times New Roman" w:cs="Times New Roman"/>
          <w:sz w:val="24"/>
          <w:szCs w:val="24"/>
        </w:rPr>
        <w:t>örnekle</w:t>
      </w:r>
      <w:r w:rsidR="00204588" w:rsidRPr="00FF4584">
        <w:rPr>
          <w:rFonts w:ascii="Times New Roman" w:eastAsia="Calibri" w:hAnsi="Times New Roman" w:cs="Times New Roman"/>
          <w:sz w:val="24"/>
          <w:szCs w:val="24"/>
        </w:rPr>
        <w:t xml:space="preserve">r </w:t>
      </w:r>
      <w:proofErr w:type="gramStart"/>
      <w:r w:rsidR="008C7F70" w:rsidRPr="00FF4584">
        <w:rPr>
          <w:rFonts w:ascii="Times New Roman" w:eastAsia="Calibri" w:hAnsi="Times New Roman" w:cs="Times New Roman"/>
          <w:sz w:val="24"/>
          <w:szCs w:val="24"/>
        </w:rPr>
        <w:t>ekstre</w:t>
      </w:r>
      <w:proofErr w:type="gramEnd"/>
      <w:r w:rsidR="008C7F70" w:rsidRPr="00FF4584">
        <w:rPr>
          <w:rFonts w:ascii="Times New Roman" w:eastAsia="Calibri" w:hAnsi="Times New Roman" w:cs="Times New Roman"/>
          <w:sz w:val="24"/>
          <w:szCs w:val="24"/>
        </w:rPr>
        <w:t xml:space="preserve"> e</w:t>
      </w:r>
      <w:r w:rsidR="00D60CA5" w:rsidRPr="00FF4584">
        <w:rPr>
          <w:rFonts w:ascii="Times New Roman" w:eastAsia="Calibri" w:hAnsi="Times New Roman" w:cs="Times New Roman"/>
          <w:sz w:val="24"/>
          <w:szCs w:val="24"/>
        </w:rPr>
        <w:t>tme</w:t>
      </w:r>
      <w:r w:rsidR="008C7F70" w:rsidRPr="00FF4584">
        <w:rPr>
          <w:rFonts w:ascii="Times New Roman" w:eastAsia="Calibri" w:hAnsi="Times New Roman" w:cs="Times New Roman"/>
          <w:sz w:val="24"/>
          <w:szCs w:val="24"/>
        </w:rPr>
        <w:t xml:space="preserve">, konsantre </w:t>
      </w:r>
      <w:r w:rsidR="00D60CA5" w:rsidRPr="00FF4584">
        <w:rPr>
          <w:rFonts w:ascii="Times New Roman" w:eastAsia="Calibri" w:hAnsi="Times New Roman" w:cs="Times New Roman"/>
          <w:sz w:val="24"/>
          <w:szCs w:val="24"/>
        </w:rPr>
        <w:t>etme</w:t>
      </w:r>
      <w:r w:rsidR="00204588" w:rsidRPr="00FF4584">
        <w:rPr>
          <w:rFonts w:ascii="Times New Roman" w:eastAsia="Calibri" w:hAnsi="Times New Roman" w:cs="Times New Roman"/>
          <w:sz w:val="24"/>
          <w:szCs w:val="24"/>
        </w:rPr>
        <w:t xml:space="preserve"> ve/veya diğer uygun teknikler ile</w:t>
      </w:r>
      <w:r w:rsidR="00204588" w:rsidRPr="00FF4584" w:rsidDel="00204588">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 xml:space="preserve">bitmiş üründen </w:t>
      </w:r>
      <w:r w:rsidR="00D60CA5" w:rsidRPr="00FF4584">
        <w:rPr>
          <w:rFonts w:ascii="Times New Roman" w:eastAsia="Calibri" w:hAnsi="Times New Roman" w:cs="Times New Roman"/>
          <w:sz w:val="24"/>
          <w:szCs w:val="24"/>
        </w:rPr>
        <w:t>elde edilebilir</w:t>
      </w:r>
      <w:r w:rsidR="00FF74E8">
        <w:rPr>
          <w:rFonts w:ascii="Times New Roman" w:eastAsia="Calibri" w:hAnsi="Times New Roman" w:cs="Times New Roman"/>
          <w:sz w:val="24"/>
          <w:szCs w:val="24"/>
        </w:rPr>
        <w:t>.</w:t>
      </w:r>
      <w:r w:rsidR="00113835" w:rsidRPr="00FF4584">
        <w:rPr>
          <w:rFonts w:ascii="Times New Roman" w:eastAsia="Calibri" w:hAnsi="Times New Roman" w:cs="Times New Roman"/>
          <w:sz w:val="24"/>
          <w:szCs w:val="24"/>
        </w:rPr>
        <w:t xml:space="preserve"> </w:t>
      </w:r>
      <w:r w:rsidR="00BA6BE4" w:rsidRPr="00FF4584">
        <w:rPr>
          <w:rFonts w:ascii="Times New Roman" w:eastAsia="Calibri" w:hAnsi="Times New Roman" w:cs="Times New Roman"/>
          <w:sz w:val="24"/>
          <w:szCs w:val="24"/>
        </w:rPr>
        <w:t>Ö</w:t>
      </w:r>
      <w:r w:rsidR="00DC471C" w:rsidRPr="00FF4584">
        <w:rPr>
          <w:rFonts w:ascii="Times New Roman" w:eastAsia="Calibri" w:hAnsi="Times New Roman" w:cs="Times New Roman"/>
          <w:sz w:val="24"/>
          <w:szCs w:val="24"/>
        </w:rPr>
        <w:t>rnek</w:t>
      </w:r>
      <w:r w:rsidR="00966DEA"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hazırlama</w:t>
      </w:r>
      <w:r w:rsidR="00966DEA" w:rsidRPr="00FF4584">
        <w:rPr>
          <w:rFonts w:ascii="Times New Roman" w:eastAsia="Calibri" w:hAnsi="Times New Roman" w:cs="Times New Roman"/>
          <w:sz w:val="24"/>
          <w:szCs w:val="24"/>
        </w:rPr>
        <w:t xml:space="preserve"> </w:t>
      </w:r>
      <w:r w:rsidR="00DC471C" w:rsidRPr="00FF4584">
        <w:rPr>
          <w:rFonts w:ascii="Times New Roman" w:eastAsia="Calibri" w:hAnsi="Times New Roman" w:cs="Times New Roman"/>
          <w:sz w:val="24"/>
          <w:szCs w:val="24"/>
        </w:rPr>
        <w:t>teknikler</w:t>
      </w:r>
      <w:r w:rsidR="00966DEA" w:rsidRPr="00FF4584">
        <w:rPr>
          <w:rFonts w:ascii="Times New Roman" w:eastAsia="Calibri" w:hAnsi="Times New Roman" w:cs="Times New Roman"/>
          <w:sz w:val="24"/>
          <w:szCs w:val="24"/>
        </w:rPr>
        <w:t>i</w:t>
      </w:r>
      <w:r w:rsidR="00DC471C" w:rsidRPr="00FF4584">
        <w:rPr>
          <w:rFonts w:ascii="Times New Roman" w:eastAsia="Calibri" w:hAnsi="Times New Roman" w:cs="Times New Roman"/>
          <w:sz w:val="24"/>
          <w:szCs w:val="24"/>
        </w:rPr>
        <w:t xml:space="preserve"> verilmeli</w:t>
      </w:r>
      <w:r w:rsidR="00A57CF5" w:rsidRPr="00FF4584">
        <w:rPr>
          <w:rFonts w:ascii="Times New Roman" w:eastAsia="Calibri" w:hAnsi="Times New Roman" w:cs="Times New Roman"/>
          <w:sz w:val="24"/>
          <w:szCs w:val="24"/>
        </w:rPr>
        <w:t xml:space="preserve"> ve bu tekniklerin etkin madde üzerindeki etkisi, örnek hazırlama öncesi ve sonrasında karşılaştırmalı olarak gösterilmelidir.</w:t>
      </w:r>
      <w:r w:rsidR="00ED3809" w:rsidRPr="00FF4584">
        <w:rPr>
          <w:rFonts w:ascii="Times New Roman" w:eastAsia="Calibri" w:hAnsi="Times New Roman" w:cs="Times New Roman"/>
          <w:sz w:val="24"/>
          <w:szCs w:val="24"/>
        </w:rPr>
        <w:t xml:space="preserve"> </w:t>
      </w:r>
    </w:p>
    <w:p w14:paraId="7235C66D" w14:textId="77777777" w:rsidR="00DC471C" w:rsidRPr="00EA32EB" w:rsidRDefault="00DC471C" w:rsidP="00327D21">
      <w:pPr>
        <w:spacing w:after="0" w:line="276" w:lineRule="auto"/>
        <w:jc w:val="both"/>
        <w:rPr>
          <w:rFonts w:ascii="Times New Roman" w:eastAsia="Calibri" w:hAnsi="Times New Roman" w:cs="Times New Roman"/>
          <w:sz w:val="24"/>
          <w:szCs w:val="24"/>
          <w:highlight w:val="green"/>
        </w:rPr>
      </w:pPr>
    </w:p>
    <w:p w14:paraId="140A4527" w14:textId="77777777" w:rsidR="00113835" w:rsidRPr="00FF4584" w:rsidRDefault="00113835" w:rsidP="00EA32EB">
      <w:pPr>
        <w:pStyle w:val="ListeParagraf"/>
        <w:numPr>
          <w:ilvl w:val="0"/>
          <w:numId w:val="29"/>
        </w:numPr>
        <w:spacing w:after="0" w:line="276" w:lineRule="auto"/>
        <w:ind w:left="426" w:hanging="426"/>
        <w:jc w:val="both"/>
        <w:rPr>
          <w:rFonts w:ascii="Times New Roman" w:eastAsia="Calibri" w:hAnsi="Times New Roman" w:cs="Times New Roman"/>
          <w:b/>
          <w:sz w:val="24"/>
          <w:szCs w:val="24"/>
        </w:rPr>
      </w:pPr>
      <w:proofErr w:type="spellStart"/>
      <w:r w:rsidRPr="00FF4584">
        <w:rPr>
          <w:rFonts w:ascii="Times New Roman" w:eastAsia="Calibri" w:hAnsi="Times New Roman" w:cs="Times New Roman"/>
          <w:b/>
          <w:sz w:val="24"/>
          <w:szCs w:val="24"/>
        </w:rPr>
        <w:lastRenderedPageBreak/>
        <w:t>Fizikokimyasal</w:t>
      </w:r>
      <w:proofErr w:type="spellEnd"/>
      <w:r w:rsidRPr="00FF4584">
        <w:rPr>
          <w:rFonts w:ascii="Times New Roman" w:eastAsia="Calibri" w:hAnsi="Times New Roman" w:cs="Times New Roman"/>
          <w:b/>
          <w:sz w:val="24"/>
          <w:szCs w:val="24"/>
        </w:rPr>
        <w:t xml:space="preserve"> Özellikler: </w:t>
      </w:r>
    </w:p>
    <w:p w14:paraId="690B9EE4" w14:textId="77777777" w:rsidR="00113835" w:rsidRPr="00FF4584" w:rsidRDefault="00113835" w:rsidP="00EA32EB">
      <w:pPr>
        <w:pStyle w:val="ListeParagraf"/>
        <w:spacing w:after="0" w:line="276" w:lineRule="auto"/>
        <w:ind w:left="426" w:hanging="426"/>
        <w:jc w:val="both"/>
        <w:rPr>
          <w:rFonts w:ascii="Times New Roman" w:eastAsia="Calibri" w:hAnsi="Times New Roman" w:cs="Times New Roman"/>
          <w:b/>
          <w:sz w:val="24"/>
          <w:szCs w:val="24"/>
        </w:rPr>
      </w:pPr>
    </w:p>
    <w:p w14:paraId="7DDB73BB" w14:textId="77777777" w:rsidR="00113835" w:rsidRDefault="00C219B2" w:rsidP="00D7759A">
      <w:pPr>
        <w:pStyle w:val="ListeParagraf"/>
        <w:numPr>
          <w:ilvl w:val="0"/>
          <w:numId w:val="20"/>
        </w:numPr>
        <w:spacing w:line="276" w:lineRule="auto"/>
        <w:jc w:val="both"/>
        <w:rPr>
          <w:rFonts w:ascii="Times New Roman" w:eastAsia="Calibri" w:hAnsi="Times New Roman" w:cs="Times New Roman"/>
          <w:sz w:val="24"/>
          <w:szCs w:val="24"/>
        </w:rPr>
      </w:pPr>
      <w:proofErr w:type="spellStart"/>
      <w:r w:rsidRPr="00FF4584">
        <w:rPr>
          <w:rFonts w:ascii="Times New Roman" w:eastAsia="Calibri" w:hAnsi="Times New Roman" w:cs="Times New Roman"/>
          <w:sz w:val="24"/>
          <w:szCs w:val="24"/>
        </w:rPr>
        <w:t>Fizikokimyasal</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karşılaştırılabilirlik</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fizikokimyasal</w:t>
      </w:r>
      <w:proofErr w:type="spellEnd"/>
      <w:r w:rsidRPr="00FF4584">
        <w:rPr>
          <w:rFonts w:ascii="Times New Roman" w:eastAsia="Calibri" w:hAnsi="Times New Roman" w:cs="Times New Roman"/>
          <w:sz w:val="24"/>
          <w:szCs w:val="24"/>
        </w:rPr>
        <w:t xml:space="preserve"> parametrelerin değerlendirilmesi ve </w:t>
      </w:r>
      <w:r w:rsidR="00EB4218" w:rsidRPr="00FF4584">
        <w:rPr>
          <w:rFonts w:ascii="Times New Roman" w:eastAsia="Calibri" w:hAnsi="Times New Roman" w:cs="Times New Roman"/>
          <w:sz w:val="24"/>
          <w:szCs w:val="24"/>
        </w:rPr>
        <w:t xml:space="preserve">ürünle ilişkili </w:t>
      </w:r>
      <w:r w:rsidR="00FF74E8">
        <w:rPr>
          <w:rFonts w:ascii="Times New Roman" w:eastAsia="Calibri" w:hAnsi="Times New Roman" w:cs="Times New Roman"/>
          <w:sz w:val="24"/>
          <w:szCs w:val="24"/>
        </w:rPr>
        <w:t>yapıların</w:t>
      </w:r>
      <w:r w:rsidRPr="00FF4584">
        <w:rPr>
          <w:rFonts w:ascii="Times New Roman" w:eastAsia="Calibri" w:hAnsi="Times New Roman" w:cs="Times New Roman"/>
          <w:sz w:val="24"/>
          <w:szCs w:val="24"/>
        </w:rPr>
        <w:t xml:space="preserve"> ve </w:t>
      </w:r>
      <w:proofErr w:type="spellStart"/>
      <w:r w:rsidRPr="00FF4584">
        <w:rPr>
          <w:rFonts w:ascii="Times New Roman" w:eastAsia="Calibri" w:hAnsi="Times New Roman" w:cs="Times New Roman"/>
          <w:sz w:val="24"/>
          <w:szCs w:val="24"/>
        </w:rPr>
        <w:t>safsızlıkları</w:t>
      </w:r>
      <w:r w:rsidR="00632033" w:rsidRPr="00FF4584">
        <w:rPr>
          <w:rFonts w:ascii="Times New Roman" w:eastAsia="Calibri" w:hAnsi="Times New Roman" w:cs="Times New Roman"/>
          <w:sz w:val="24"/>
          <w:szCs w:val="24"/>
        </w:rPr>
        <w:t>n</w:t>
      </w:r>
      <w:proofErr w:type="spellEnd"/>
      <w:r w:rsidR="005A371D">
        <w:rPr>
          <w:rFonts w:ascii="Times New Roman" w:eastAsia="Calibri" w:hAnsi="Times New Roman" w:cs="Times New Roman"/>
          <w:sz w:val="24"/>
          <w:szCs w:val="24"/>
        </w:rPr>
        <w:t xml:space="preserve"> </w:t>
      </w:r>
      <w:r w:rsidRPr="00FF4584">
        <w:rPr>
          <w:rFonts w:ascii="Times New Roman" w:eastAsia="Calibri" w:hAnsi="Times New Roman" w:cs="Times New Roman"/>
          <w:sz w:val="24"/>
          <w:szCs w:val="24"/>
        </w:rPr>
        <w:t xml:space="preserve">tayinini içerir. </w:t>
      </w:r>
      <w:proofErr w:type="spellStart"/>
      <w:r w:rsidR="00457761" w:rsidRPr="00FF4584">
        <w:rPr>
          <w:rFonts w:ascii="Times New Roman" w:eastAsia="Calibri" w:hAnsi="Times New Roman" w:cs="Times New Roman"/>
          <w:sz w:val="24"/>
          <w:szCs w:val="24"/>
        </w:rPr>
        <w:t>Fizikokimyasal</w:t>
      </w:r>
      <w:proofErr w:type="spellEnd"/>
      <w:r w:rsidR="00457761" w:rsidRPr="00FF4584">
        <w:rPr>
          <w:rFonts w:ascii="Times New Roman" w:eastAsia="Calibri" w:hAnsi="Times New Roman" w:cs="Times New Roman"/>
          <w:sz w:val="24"/>
          <w:szCs w:val="24"/>
        </w:rPr>
        <w:t xml:space="preserve"> </w:t>
      </w:r>
      <w:proofErr w:type="spellStart"/>
      <w:r w:rsidR="00457761" w:rsidRPr="00FF4584">
        <w:rPr>
          <w:rFonts w:ascii="Times New Roman" w:eastAsia="Calibri" w:hAnsi="Times New Roman" w:cs="Times New Roman"/>
          <w:sz w:val="24"/>
          <w:szCs w:val="24"/>
        </w:rPr>
        <w:t>karakterizasyon</w:t>
      </w:r>
      <w:proofErr w:type="spellEnd"/>
      <w:r w:rsidR="00457761" w:rsidRPr="00FF4584">
        <w:rPr>
          <w:rFonts w:ascii="Times New Roman" w:eastAsia="Calibri" w:hAnsi="Times New Roman" w:cs="Times New Roman"/>
          <w:sz w:val="24"/>
          <w:szCs w:val="24"/>
        </w:rPr>
        <w:t xml:space="preserve"> programı benzer biyolojik tıbbi üründeki etkin maddenin bileşimini, fiziksel özelliklerini, birincil ve daha yüksek yapıların tayinini içermelidir. </w:t>
      </w:r>
      <w:proofErr w:type="spellStart"/>
      <w:r w:rsidR="0059237E">
        <w:rPr>
          <w:rFonts w:ascii="Times New Roman" w:eastAsia="Calibri" w:hAnsi="Times New Roman" w:cs="Times New Roman"/>
          <w:sz w:val="24"/>
          <w:szCs w:val="24"/>
        </w:rPr>
        <w:t>Biyobenzer</w:t>
      </w:r>
      <w:proofErr w:type="spellEnd"/>
      <w:r w:rsidR="0059237E">
        <w:rPr>
          <w:rFonts w:ascii="Times New Roman" w:eastAsia="Calibri" w:hAnsi="Times New Roman" w:cs="Times New Roman"/>
          <w:sz w:val="24"/>
          <w:szCs w:val="24"/>
        </w:rPr>
        <w:t xml:space="preserve"> tıbbi ürünün</w:t>
      </w:r>
      <w:r w:rsidR="006773E7" w:rsidRPr="00FF4584">
        <w:rPr>
          <w:rFonts w:ascii="Times New Roman" w:eastAsia="Calibri" w:hAnsi="Times New Roman" w:cs="Times New Roman"/>
          <w:sz w:val="24"/>
          <w:szCs w:val="24"/>
        </w:rPr>
        <w:t xml:space="preserve"> </w:t>
      </w:r>
      <w:r w:rsidR="00735F1C" w:rsidRPr="00FF4584">
        <w:rPr>
          <w:rFonts w:ascii="Times New Roman" w:eastAsia="Calibri" w:hAnsi="Times New Roman" w:cs="Times New Roman"/>
          <w:sz w:val="24"/>
          <w:szCs w:val="24"/>
        </w:rPr>
        <w:t>hedef</w:t>
      </w:r>
      <w:r w:rsidR="006773E7" w:rsidRPr="00FF4584">
        <w:rPr>
          <w:rFonts w:ascii="Times New Roman" w:eastAsia="Calibri" w:hAnsi="Times New Roman" w:cs="Times New Roman"/>
          <w:sz w:val="24"/>
          <w:szCs w:val="24"/>
        </w:rPr>
        <w:t xml:space="preserve"> </w:t>
      </w:r>
      <w:proofErr w:type="gramStart"/>
      <w:r w:rsidR="006773E7" w:rsidRPr="00FF4584">
        <w:rPr>
          <w:rFonts w:ascii="Times New Roman" w:eastAsia="Calibri" w:hAnsi="Times New Roman" w:cs="Times New Roman"/>
          <w:sz w:val="24"/>
          <w:szCs w:val="24"/>
        </w:rPr>
        <w:t>amino</w:t>
      </w:r>
      <w:proofErr w:type="gramEnd"/>
      <w:r w:rsidR="006773E7" w:rsidRPr="00FF4584">
        <w:rPr>
          <w:rFonts w:ascii="Times New Roman" w:eastAsia="Calibri" w:hAnsi="Times New Roman" w:cs="Times New Roman"/>
          <w:sz w:val="24"/>
          <w:szCs w:val="24"/>
        </w:rPr>
        <w:t xml:space="preserve"> asit dizisi doğr</w:t>
      </w:r>
      <w:r w:rsidR="002B45A9">
        <w:rPr>
          <w:rFonts w:ascii="Times New Roman" w:eastAsia="Calibri" w:hAnsi="Times New Roman" w:cs="Times New Roman"/>
          <w:sz w:val="24"/>
          <w:szCs w:val="24"/>
        </w:rPr>
        <w:t>ulanmalı ve referans tıbbi ürün</w:t>
      </w:r>
      <w:r w:rsidR="00FA3D13" w:rsidRPr="00FF4584">
        <w:rPr>
          <w:rFonts w:ascii="Times New Roman" w:eastAsia="Calibri" w:hAnsi="Times New Roman" w:cs="Times New Roman"/>
          <w:sz w:val="24"/>
          <w:szCs w:val="24"/>
        </w:rPr>
        <w:t xml:space="preserve"> ile aynı olmalıdır.</w:t>
      </w:r>
    </w:p>
    <w:p w14:paraId="66F3C424" w14:textId="77777777" w:rsidR="00311BA9" w:rsidRPr="00311BA9" w:rsidRDefault="00311BA9" w:rsidP="00311BA9">
      <w:pPr>
        <w:pStyle w:val="ListeParagraf"/>
        <w:numPr>
          <w:ilvl w:val="0"/>
          <w:numId w:val="20"/>
        </w:numPr>
        <w:spacing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N- ve C- terminal </w:t>
      </w:r>
      <w:proofErr w:type="gramStart"/>
      <w:r w:rsidRPr="00FF4584">
        <w:rPr>
          <w:rFonts w:ascii="Times New Roman" w:eastAsia="Calibri" w:hAnsi="Times New Roman" w:cs="Times New Roman"/>
          <w:sz w:val="24"/>
          <w:szCs w:val="24"/>
        </w:rPr>
        <w:t>amino</w:t>
      </w:r>
      <w:proofErr w:type="gramEnd"/>
      <w:r w:rsidRPr="00FF4584">
        <w:rPr>
          <w:rFonts w:ascii="Times New Roman" w:eastAsia="Calibri" w:hAnsi="Times New Roman" w:cs="Times New Roman"/>
          <w:sz w:val="24"/>
          <w:szCs w:val="24"/>
        </w:rPr>
        <w:t xml:space="preserve"> asit dizilimleri, serbest -SH grupları, </w:t>
      </w:r>
      <w:proofErr w:type="spellStart"/>
      <w:r w:rsidRPr="00FF4584">
        <w:rPr>
          <w:rFonts w:ascii="Times New Roman" w:eastAsia="Calibri" w:hAnsi="Times New Roman" w:cs="Times New Roman"/>
          <w:sz w:val="24"/>
          <w:szCs w:val="24"/>
        </w:rPr>
        <w:t>disülfit</w:t>
      </w:r>
      <w:proofErr w:type="spellEnd"/>
      <w:r w:rsidRPr="00FF4584">
        <w:rPr>
          <w:rFonts w:ascii="Times New Roman" w:eastAsia="Calibri" w:hAnsi="Times New Roman" w:cs="Times New Roman"/>
          <w:sz w:val="24"/>
          <w:szCs w:val="24"/>
        </w:rPr>
        <w:t xml:space="preserve"> köprüleri uygun</w:t>
      </w:r>
      <w:r>
        <w:rPr>
          <w:rFonts w:ascii="Times New Roman" w:eastAsia="Calibri" w:hAnsi="Times New Roman" w:cs="Times New Roman"/>
          <w:sz w:val="24"/>
          <w:szCs w:val="24"/>
        </w:rPr>
        <w:t xml:space="preserve"> yöntemlerle </w:t>
      </w:r>
      <w:r w:rsidRPr="00FF4584">
        <w:rPr>
          <w:rFonts w:ascii="Times New Roman" w:eastAsia="Calibri" w:hAnsi="Times New Roman" w:cs="Times New Roman"/>
          <w:sz w:val="24"/>
          <w:szCs w:val="24"/>
        </w:rPr>
        <w:t>karşılaştırılmalıdır</w:t>
      </w:r>
      <w:r w:rsidRPr="00FF4584">
        <w:rPr>
          <w:rFonts w:ascii="Times New Roman" w:hAnsi="Times New Roman" w:cs="Times New Roman"/>
          <w:sz w:val="24"/>
          <w:szCs w:val="24"/>
        </w:rPr>
        <w:t xml:space="preserve">. </w:t>
      </w:r>
      <w:r w:rsidRPr="00FF4584">
        <w:rPr>
          <w:rFonts w:ascii="Times New Roman" w:eastAsia="Calibri" w:hAnsi="Times New Roman" w:cs="Times New Roman"/>
          <w:sz w:val="24"/>
          <w:szCs w:val="24"/>
        </w:rPr>
        <w:t>Modifikasyonlar ve proteindeki kısalmaların (</w:t>
      </w:r>
      <w:proofErr w:type="spellStart"/>
      <w:r w:rsidRPr="00FF4584">
        <w:rPr>
          <w:rFonts w:ascii="Times New Roman" w:hAnsi="Times New Roman" w:cs="Times New Roman"/>
          <w:sz w:val="24"/>
          <w:szCs w:val="24"/>
        </w:rPr>
        <w:t>truncations</w:t>
      </w:r>
      <w:proofErr w:type="spellEnd"/>
      <w:r w:rsidRPr="00FF4584">
        <w:rPr>
          <w:rFonts w:ascii="Times New Roman" w:hAnsi="Times New Roman" w:cs="Times New Roman"/>
          <w:sz w:val="24"/>
          <w:szCs w:val="24"/>
        </w:rPr>
        <w:t xml:space="preserve">) </w:t>
      </w:r>
      <w:r w:rsidRPr="00FF4584">
        <w:rPr>
          <w:rFonts w:ascii="Times New Roman" w:eastAsia="Calibri" w:hAnsi="Times New Roman" w:cs="Times New Roman"/>
          <w:sz w:val="24"/>
          <w:szCs w:val="24"/>
        </w:rPr>
        <w:t>miktarı ölçülmeli ve sürece özgü veya ekspresyon sistemi ile ilgili değişkenler varsa açıklanmalıdır.</w:t>
      </w:r>
    </w:p>
    <w:p w14:paraId="30B898FB" w14:textId="77777777" w:rsidR="00113835" w:rsidRPr="00FF4584" w:rsidRDefault="00BA5125" w:rsidP="00311BA9">
      <w:pPr>
        <w:pStyle w:val="ListeParagraf"/>
        <w:numPr>
          <w:ilvl w:val="0"/>
          <w:numId w:val="20"/>
        </w:numPr>
        <w:spacing w:line="276" w:lineRule="auto"/>
        <w:jc w:val="both"/>
        <w:rPr>
          <w:rFonts w:ascii="Times New Roman" w:eastAsia="Calibri" w:hAnsi="Times New Roman" w:cs="Times New Roman"/>
          <w:sz w:val="24"/>
          <w:szCs w:val="24"/>
        </w:rPr>
      </w:pP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ürün </w:t>
      </w:r>
      <w:r w:rsidRPr="00FF4584">
        <w:rPr>
          <w:rFonts w:ascii="Times New Roman" w:eastAsia="Calibri" w:hAnsi="Times New Roman" w:cs="Times New Roman"/>
          <w:sz w:val="24"/>
          <w:szCs w:val="24"/>
        </w:rPr>
        <w:t xml:space="preserve">ve referans tıbbi ürün arasında saptanan farklılıklar (örneğin C-terminal </w:t>
      </w:r>
      <w:proofErr w:type="spellStart"/>
      <w:r w:rsidRPr="00FF4584">
        <w:rPr>
          <w:rFonts w:ascii="Times New Roman" w:eastAsia="Calibri" w:hAnsi="Times New Roman" w:cs="Times New Roman"/>
          <w:sz w:val="24"/>
          <w:szCs w:val="24"/>
        </w:rPr>
        <w:t>lizin</w:t>
      </w:r>
      <w:proofErr w:type="spellEnd"/>
      <w:r w:rsidRPr="00FF4584">
        <w:rPr>
          <w:rFonts w:ascii="Times New Roman" w:eastAsia="Calibri" w:hAnsi="Times New Roman" w:cs="Times New Roman"/>
          <w:sz w:val="24"/>
          <w:szCs w:val="24"/>
        </w:rPr>
        <w:t xml:space="preserve"> değişkenliği), referans tıbbi ürünün mikro heterojen yapısı </w:t>
      </w:r>
      <w:r w:rsidR="001901E2" w:rsidRPr="00FF4584">
        <w:rPr>
          <w:rFonts w:ascii="Times New Roman" w:eastAsia="Calibri" w:hAnsi="Times New Roman" w:cs="Times New Roman"/>
          <w:sz w:val="24"/>
          <w:szCs w:val="24"/>
        </w:rPr>
        <w:t>açısından</w:t>
      </w:r>
      <w:r w:rsidRPr="00FF4584">
        <w:rPr>
          <w:rFonts w:ascii="Times New Roman" w:eastAsia="Calibri" w:hAnsi="Times New Roman" w:cs="Times New Roman"/>
          <w:sz w:val="24"/>
          <w:szCs w:val="24"/>
        </w:rPr>
        <w:t xml:space="preserve"> gerekçelendirilmelidir.</w:t>
      </w:r>
      <w:r w:rsidR="00202366" w:rsidRPr="00FF4584">
        <w:rPr>
          <w:rFonts w:ascii="Times New Roman" w:eastAsia="Calibri" w:hAnsi="Times New Roman" w:cs="Times New Roman"/>
          <w:sz w:val="24"/>
          <w:szCs w:val="24"/>
        </w:rPr>
        <w:t xml:space="preserve"> </w:t>
      </w:r>
    </w:p>
    <w:p w14:paraId="34D1B159" w14:textId="77777777" w:rsidR="00113835" w:rsidRPr="00FF4584" w:rsidRDefault="00DA1AAA" w:rsidP="00311BA9">
      <w:pPr>
        <w:pStyle w:val="ListeParagraf"/>
        <w:numPr>
          <w:ilvl w:val="0"/>
          <w:numId w:val="20"/>
        </w:numPr>
        <w:spacing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Proteinlerde yapısal farklılıklar </w:t>
      </w:r>
      <w:proofErr w:type="spellStart"/>
      <w:r w:rsidRPr="00FF4584">
        <w:rPr>
          <w:rFonts w:ascii="Times New Roman" w:eastAsia="Calibri" w:hAnsi="Times New Roman" w:cs="Times New Roman"/>
          <w:sz w:val="24"/>
          <w:szCs w:val="24"/>
        </w:rPr>
        <w:t>biyosentez</w:t>
      </w:r>
      <w:proofErr w:type="spellEnd"/>
      <w:r w:rsidRPr="00FF4584">
        <w:rPr>
          <w:rFonts w:ascii="Times New Roman" w:eastAsia="Calibri" w:hAnsi="Times New Roman" w:cs="Times New Roman"/>
          <w:sz w:val="24"/>
          <w:szCs w:val="24"/>
        </w:rPr>
        <w:t xml:space="preserve"> sırasında doğal olarak oluşur. Bu nedenle,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w:t>
      </w:r>
      <w:r w:rsidRPr="00FF4584">
        <w:rPr>
          <w:rFonts w:ascii="Times New Roman" w:eastAsia="Calibri" w:hAnsi="Times New Roman" w:cs="Times New Roman"/>
          <w:sz w:val="24"/>
          <w:szCs w:val="24"/>
        </w:rPr>
        <w:t xml:space="preserve">ürün </w:t>
      </w:r>
      <w:proofErr w:type="spellStart"/>
      <w:r w:rsidRPr="00FF4584">
        <w:rPr>
          <w:rFonts w:ascii="Times New Roman" w:eastAsia="Calibri" w:hAnsi="Times New Roman" w:cs="Times New Roman"/>
          <w:sz w:val="24"/>
          <w:szCs w:val="24"/>
        </w:rPr>
        <w:t>translasyon</w:t>
      </w:r>
      <w:proofErr w:type="spellEnd"/>
      <w:r w:rsidRPr="00FF4584">
        <w:rPr>
          <w:rFonts w:ascii="Times New Roman" w:eastAsia="Calibri" w:hAnsi="Times New Roman" w:cs="Times New Roman"/>
          <w:sz w:val="24"/>
          <w:szCs w:val="24"/>
        </w:rPr>
        <w:t xml:space="preserve"> sonrası modifikasyon formlarının (</w:t>
      </w:r>
      <w:proofErr w:type="spellStart"/>
      <w:r w:rsidRPr="00FF4584">
        <w:rPr>
          <w:rFonts w:ascii="Times New Roman" w:eastAsia="Calibri" w:hAnsi="Times New Roman" w:cs="Times New Roman"/>
          <w:sz w:val="24"/>
          <w:szCs w:val="24"/>
        </w:rPr>
        <w:t>gliko</w:t>
      </w:r>
      <w:r w:rsidR="00E910F4" w:rsidRPr="00FF4584">
        <w:rPr>
          <w:rFonts w:ascii="Times New Roman" w:eastAsia="Calibri" w:hAnsi="Times New Roman" w:cs="Times New Roman"/>
          <w:sz w:val="24"/>
          <w:szCs w:val="24"/>
        </w:rPr>
        <w:t>zilasyon</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oksidasyon</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deamidasyon</w:t>
      </w:r>
      <w:proofErr w:type="spellEnd"/>
      <w:r w:rsidRPr="00FF4584">
        <w:rPr>
          <w:rFonts w:ascii="Times New Roman" w:eastAsia="Calibri" w:hAnsi="Times New Roman" w:cs="Times New Roman"/>
          <w:sz w:val="24"/>
          <w:szCs w:val="24"/>
        </w:rPr>
        <w:t xml:space="preserve">, </w:t>
      </w:r>
      <w:r w:rsidR="00A313CD" w:rsidRPr="00FF4584">
        <w:rPr>
          <w:rFonts w:ascii="Times New Roman" w:eastAsia="Calibri" w:hAnsi="Times New Roman" w:cs="Times New Roman"/>
          <w:sz w:val="24"/>
          <w:szCs w:val="24"/>
        </w:rPr>
        <w:t>kısalma</w:t>
      </w:r>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v.b</w:t>
      </w:r>
      <w:proofErr w:type="spellEnd"/>
      <w:r w:rsidRPr="00FF4584">
        <w:rPr>
          <w:rFonts w:ascii="Times New Roman" w:eastAsia="Calibri" w:hAnsi="Times New Roman" w:cs="Times New Roman"/>
          <w:sz w:val="24"/>
          <w:szCs w:val="24"/>
        </w:rPr>
        <w:t>) karışımını içerebilir.</w:t>
      </w:r>
    </w:p>
    <w:p w14:paraId="6B8D66D7" w14:textId="77777777" w:rsidR="00113835" w:rsidRPr="00FF4584" w:rsidRDefault="00276E53" w:rsidP="00311BA9">
      <w:pPr>
        <w:pStyle w:val="ListeParagraf"/>
        <w:numPr>
          <w:ilvl w:val="0"/>
          <w:numId w:val="20"/>
        </w:numPr>
        <w:spacing w:line="276" w:lineRule="auto"/>
        <w:jc w:val="both"/>
        <w:rPr>
          <w:rFonts w:ascii="Times New Roman" w:hAnsi="Times New Roman" w:cs="Times New Roman"/>
          <w:sz w:val="24"/>
          <w:szCs w:val="24"/>
        </w:rPr>
      </w:pPr>
      <w:proofErr w:type="spellStart"/>
      <w:r w:rsidRPr="00FF4584">
        <w:rPr>
          <w:rFonts w:ascii="Times New Roman" w:hAnsi="Times New Roman" w:cs="Times New Roman"/>
          <w:sz w:val="24"/>
          <w:szCs w:val="24"/>
        </w:rPr>
        <w:t>Translasyon</w:t>
      </w:r>
      <w:proofErr w:type="spellEnd"/>
      <w:r w:rsidRPr="00FF4584">
        <w:rPr>
          <w:rFonts w:ascii="Times New Roman" w:hAnsi="Times New Roman" w:cs="Times New Roman"/>
          <w:sz w:val="24"/>
          <w:szCs w:val="24"/>
        </w:rPr>
        <w:t xml:space="preserve"> sonrası </w:t>
      </w:r>
      <w:r w:rsidR="00202366" w:rsidRPr="00FF4584">
        <w:rPr>
          <w:rFonts w:ascii="Times New Roman" w:hAnsi="Times New Roman" w:cs="Times New Roman"/>
          <w:sz w:val="24"/>
          <w:szCs w:val="24"/>
        </w:rPr>
        <w:t xml:space="preserve">modifikasyonların varlığı ve </w:t>
      </w:r>
      <w:r w:rsidR="007B41A9">
        <w:rPr>
          <w:rFonts w:ascii="Times New Roman" w:hAnsi="Times New Roman" w:cs="Times New Roman"/>
          <w:sz w:val="24"/>
          <w:szCs w:val="24"/>
        </w:rPr>
        <w:t>sayısı</w:t>
      </w:r>
      <w:r w:rsidRPr="00FF4584">
        <w:rPr>
          <w:rFonts w:ascii="Times New Roman" w:hAnsi="Times New Roman" w:cs="Times New Roman"/>
          <w:sz w:val="24"/>
          <w:szCs w:val="24"/>
        </w:rPr>
        <w:t xml:space="preserve"> (</w:t>
      </w:r>
      <w:proofErr w:type="spellStart"/>
      <w:r w:rsidRPr="00FF4584">
        <w:rPr>
          <w:rFonts w:ascii="Times New Roman" w:hAnsi="Times New Roman" w:cs="Times New Roman"/>
          <w:sz w:val="24"/>
          <w:szCs w:val="24"/>
        </w:rPr>
        <w:t>örn.</w:t>
      </w:r>
      <w:r w:rsidR="00E910F4" w:rsidRPr="00FF4584">
        <w:rPr>
          <w:rFonts w:ascii="Times New Roman" w:hAnsi="Times New Roman" w:cs="Times New Roman"/>
          <w:sz w:val="24"/>
          <w:szCs w:val="24"/>
        </w:rPr>
        <w:t>glikozilasyon</w:t>
      </w:r>
      <w:proofErr w:type="spellEnd"/>
      <w:r w:rsidR="00202366" w:rsidRPr="00FF4584">
        <w:rPr>
          <w:rFonts w:ascii="Times New Roman" w:hAnsi="Times New Roman" w:cs="Times New Roman"/>
          <w:sz w:val="24"/>
          <w:szCs w:val="24"/>
        </w:rPr>
        <w:t xml:space="preserve">, </w:t>
      </w:r>
      <w:proofErr w:type="spellStart"/>
      <w:r w:rsidR="00202366" w:rsidRPr="00FF4584">
        <w:rPr>
          <w:rFonts w:ascii="Times New Roman" w:hAnsi="Times New Roman" w:cs="Times New Roman"/>
          <w:sz w:val="24"/>
          <w:szCs w:val="24"/>
        </w:rPr>
        <w:t>oksidasyon</w:t>
      </w:r>
      <w:proofErr w:type="spellEnd"/>
      <w:r w:rsidR="00202366" w:rsidRPr="00FF4584">
        <w:rPr>
          <w:rFonts w:ascii="Times New Roman" w:hAnsi="Times New Roman" w:cs="Times New Roman"/>
          <w:sz w:val="24"/>
          <w:szCs w:val="24"/>
        </w:rPr>
        <w:t xml:space="preserve">, </w:t>
      </w:r>
      <w:proofErr w:type="spellStart"/>
      <w:r w:rsidR="00202366" w:rsidRPr="00FF4584">
        <w:rPr>
          <w:rFonts w:ascii="Times New Roman" w:hAnsi="Times New Roman" w:cs="Times New Roman"/>
          <w:sz w:val="24"/>
          <w:szCs w:val="24"/>
        </w:rPr>
        <w:t>deamidasyon</w:t>
      </w:r>
      <w:proofErr w:type="spellEnd"/>
      <w:r w:rsidR="00202366" w:rsidRPr="00FF4584">
        <w:rPr>
          <w:rFonts w:ascii="Times New Roman" w:hAnsi="Times New Roman" w:cs="Times New Roman"/>
          <w:sz w:val="24"/>
          <w:szCs w:val="24"/>
        </w:rPr>
        <w:t xml:space="preserve">, </w:t>
      </w:r>
      <w:r w:rsidRPr="00FF4584">
        <w:rPr>
          <w:rFonts w:ascii="Times New Roman" w:hAnsi="Times New Roman" w:cs="Times New Roman"/>
          <w:sz w:val="24"/>
          <w:szCs w:val="24"/>
        </w:rPr>
        <w:t>kısalma</w:t>
      </w:r>
      <w:r w:rsidR="00A313CD" w:rsidRPr="00FF4584">
        <w:rPr>
          <w:rFonts w:ascii="Times New Roman" w:hAnsi="Times New Roman" w:cs="Times New Roman"/>
          <w:sz w:val="24"/>
          <w:szCs w:val="24"/>
        </w:rPr>
        <w:t xml:space="preserve"> </w:t>
      </w:r>
      <w:proofErr w:type="spellStart"/>
      <w:r w:rsidR="00A313CD" w:rsidRPr="00FF4584">
        <w:rPr>
          <w:rFonts w:ascii="Times New Roman" w:hAnsi="Times New Roman" w:cs="Times New Roman"/>
          <w:sz w:val="24"/>
          <w:szCs w:val="24"/>
        </w:rPr>
        <w:t>v.b</w:t>
      </w:r>
      <w:proofErr w:type="spellEnd"/>
      <w:r w:rsidR="00A313CD" w:rsidRPr="00FF4584">
        <w:rPr>
          <w:rFonts w:ascii="Times New Roman" w:hAnsi="Times New Roman" w:cs="Times New Roman"/>
          <w:sz w:val="24"/>
          <w:szCs w:val="24"/>
        </w:rPr>
        <w:t>.</w:t>
      </w:r>
      <w:r w:rsidR="008A7663">
        <w:rPr>
          <w:rFonts w:ascii="Times New Roman" w:hAnsi="Times New Roman" w:cs="Times New Roman"/>
          <w:sz w:val="24"/>
          <w:szCs w:val="24"/>
        </w:rPr>
        <w:t>)  uygun yöntemlerle</w:t>
      </w:r>
      <w:r w:rsidR="00202366" w:rsidRPr="00FF4584">
        <w:rPr>
          <w:rFonts w:ascii="Times New Roman" w:hAnsi="Times New Roman" w:cs="Times New Roman"/>
          <w:sz w:val="24"/>
          <w:szCs w:val="24"/>
        </w:rPr>
        <w:t xml:space="preserve"> karakterize edilmelidir.</w:t>
      </w:r>
    </w:p>
    <w:p w14:paraId="2AAF3932" w14:textId="77777777" w:rsidR="0094472A" w:rsidRDefault="00276E53" w:rsidP="0094472A">
      <w:pPr>
        <w:pStyle w:val="ListeParagraf"/>
        <w:numPr>
          <w:ilvl w:val="0"/>
          <w:numId w:val="20"/>
        </w:numPr>
        <w:spacing w:line="276" w:lineRule="auto"/>
        <w:jc w:val="both"/>
        <w:rPr>
          <w:rFonts w:ascii="Times New Roman" w:eastAsia="Calibri" w:hAnsi="Times New Roman" w:cs="Times New Roman"/>
          <w:sz w:val="24"/>
          <w:szCs w:val="24"/>
        </w:rPr>
      </w:pPr>
      <w:proofErr w:type="spellStart"/>
      <w:r w:rsidRPr="00FF4584">
        <w:rPr>
          <w:rFonts w:ascii="Times New Roman" w:eastAsia="Calibri" w:hAnsi="Times New Roman" w:cs="Times New Roman"/>
          <w:sz w:val="24"/>
          <w:szCs w:val="24"/>
        </w:rPr>
        <w:t>Karbo</w:t>
      </w:r>
      <w:r w:rsidR="00DA1AAA" w:rsidRPr="00FF4584">
        <w:rPr>
          <w:rFonts w:ascii="Times New Roman" w:eastAsia="Calibri" w:hAnsi="Times New Roman" w:cs="Times New Roman"/>
          <w:sz w:val="24"/>
          <w:szCs w:val="24"/>
        </w:rPr>
        <w:t>hidrat</w:t>
      </w:r>
      <w:proofErr w:type="spellEnd"/>
      <w:r w:rsidR="00DA1AAA" w:rsidRPr="00FF4584">
        <w:rPr>
          <w:rFonts w:ascii="Times New Roman" w:eastAsia="Calibri" w:hAnsi="Times New Roman" w:cs="Times New Roman"/>
          <w:sz w:val="24"/>
          <w:szCs w:val="24"/>
        </w:rPr>
        <w:t xml:space="preserve"> yapıları</w:t>
      </w:r>
      <w:r w:rsidR="00202366" w:rsidRPr="00FF4584">
        <w:rPr>
          <w:rFonts w:ascii="Times New Roman" w:eastAsia="Calibri" w:hAnsi="Times New Roman" w:cs="Times New Roman"/>
          <w:sz w:val="24"/>
          <w:szCs w:val="24"/>
        </w:rPr>
        <w:t xml:space="preserve"> varsa, genel </w:t>
      </w:r>
      <w:proofErr w:type="spellStart"/>
      <w:r w:rsidR="00202366" w:rsidRPr="00FF4584">
        <w:rPr>
          <w:rFonts w:ascii="Times New Roman" w:eastAsia="Calibri" w:hAnsi="Times New Roman" w:cs="Times New Roman"/>
          <w:sz w:val="24"/>
          <w:szCs w:val="24"/>
        </w:rPr>
        <w:t>glikan</w:t>
      </w:r>
      <w:proofErr w:type="spellEnd"/>
      <w:r w:rsidR="00202366" w:rsidRPr="00FF4584">
        <w:rPr>
          <w:rFonts w:ascii="Times New Roman" w:eastAsia="Calibri" w:hAnsi="Times New Roman" w:cs="Times New Roman"/>
          <w:sz w:val="24"/>
          <w:szCs w:val="24"/>
        </w:rPr>
        <w:t xml:space="preserve"> profili, </w:t>
      </w:r>
      <w:r w:rsidR="00DA1AAA" w:rsidRPr="00FF4584">
        <w:rPr>
          <w:rFonts w:ascii="Times New Roman" w:eastAsia="Calibri" w:hAnsi="Times New Roman" w:cs="Times New Roman"/>
          <w:sz w:val="24"/>
          <w:szCs w:val="24"/>
        </w:rPr>
        <w:t xml:space="preserve">bölgeye özgü </w:t>
      </w:r>
      <w:proofErr w:type="spellStart"/>
      <w:r w:rsidR="00202366" w:rsidRPr="00FF4584">
        <w:rPr>
          <w:rFonts w:ascii="Times New Roman" w:eastAsia="Calibri" w:hAnsi="Times New Roman" w:cs="Times New Roman"/>
          <w:sz w:val="24"/>
          <w:szCs w:val="24"/>
        </w:rPr>
        <w:t>glikozilasyon</w:t>
      </w:r>
      <w:proofErr w:type="spellEnd"/>
      <w:r w:rsidR="00202366" w:rsidRPr="00FF4584">
        <w:rPr>
          <w:rFonts w:ascii="Times New Roman" w:eastAsia="Calibri" w:hAnsi="Times New Roman" w:cs="Times New Roman"/>
          <w:sz w:val="24"/>
          <w:szCs w:val="24"/>
        </w:rPr>
        <w:t xml:space="preserve"> </w:t>
      </w:r>
      <w:proofErr w:type="spellStart"/>
      <w:r w:rsidR="00B3259B" w:rsidRPr="00FF4584">
        <w:rPr>
          <w:rFonts w:ascii="Times New Roman" w:eastAsia="Calibri" w:hAnsi="Times New Roman" w:cs="Times New Roman"/>
          <w:sz w:val="24"/>
          <w:szCs w:val="24"/>
        </w:rPr>
        <w:t>paterni</w:t>
      </w:r>
      <w:proofErr w:type="spellEnd"/>
      <w:r w:rsidR="00B3259B" w:rsidRPr="00FF4584">
        <w:rPr>
          <w:rFonts w:ascii="Times New Roman" w:eastAsia="Calibri" w:hAnsi="Times New Roman" w:cs="Times New Roman"/>
          <w:sz w:val="24"/>
          <w:szCs w:val="24"/>
        </w:rPr>
        <w:t xml:space="preserve"> </w:t>
      </w:r>
      <w:r w:rsidR="00DA1AAA" w:rsidRPr="00FF4584">
        <w:rPr>
          <w:rFonts w:ascii="Times New Roman" w:eastAsia="Calibri" w:hAnsi="Times New Roman" w:cs="Times New Roman"/>
          <w:sz w:val="24"/>
          <w:szCs w:val="24"/>
        </w:rPr>
        <w:t xml:space="preserve">ve kapsadığı alan </w:t>
      </w:r>
      <w:proofErr w:type="gramStart"/>
      <w:r w:rsidR="00DA1AAA" w:rsidRPr="00FF4584">
        <w:rPr>
          <w:rFonts w:ascii="Times New Roman" w:eastAsia="Calibri" w:hAnsi="Times New Roman" w:cs="Times New Roman"/>
          <w:sz w:val="24"/>
          <w:szCs w:val="24"/>
        </w:rPr>
        <w:t>dahil</w:t>
      </w:r>
      <w:proofErr w:type="gramEnd"/>
      <w:r w:rsidR="00DA1AAA" w:rsidRPr="00FF4584">
        <w:rPr>
          <w:rFonts w:ascii="Times New Roman" w:eastAsia="Calibri" w:hAnsi="Times New Roman" w:cs="Times New Roman"/>
          <w:sz w:val="24"/>
          <w:szCs w:val="24"/>
        </w:rPr>
        <w:t xml:space="preserve"> olmak üzere ayrıntılı </w:t>
      </w:r>
      <w:r w:rsidR="00870259" w:rsidRPr="00FF4584">
        <w:rPr>
          <w:rFonts w:ascii="Times New Roman" w:eastAsia="Calibri" w:hAnsi="Times New Roman" w:cs="Times New Roman"/>
          <w:sz w:val="24"/>
          <w:szCs w:val="24"/>
        </w:rPr>
        <w:t>bir şekilde</w:t>
      </w:r>
      <w:r w:rsidR="00DA1AAA" w:rsidRPr="00FF4584">
        <w:rPr>
          <w:rFonts w:ascii="Times New Roman" w:eastAsia="Calibri" w:hAnsi="Times New Roman" w:cs="Times New Roman"/>
          <w:sz w:val="24"/>
          <w:szCs w:val="24"/>
        </w:rPr>
        <w:t xml:space="preserve"> </w:t>
      </w:r>
      <w:r w:rsidR="00202366" w:rsidRPr="00FF4584">
        <w:rPr>
          <w:rFonts w:ascii="Times New Roman" w:eastAsia="Calibri" w:hAnsi="Times New Roman" w:cs="Times New Roman"/>
          <w:sz w:val="24"/>
          <w:szCs w:val="24"/>
        </w:rPr>
        <w:t>karşılaştırılmalıdır.</w:t>
      </w:r>
    </w:p>
    <w:p w14:paraId="1F320D01" w14:textId="77777777" w:rsidR="00113835" w:rsidRDefault="00202366" w:rsidP="0094472A">
      <w:pPr>
        <w:pStyle w:val="ListeParagraf"/>
        <w:numPr>
          <w:ilvl w:val="0"/>
          <w:numId w:val="20"/>
        </w:numPr>
        <w:spacing w:line="276" w:lineRule="auto"/>
        <w:jc w:val="both"/>
        <w:rPr>
          <w:rFonts w:ascii="Times New Roman" w:eastAsia="Calibri" w:hAnsi="Times New Roman" w:cs="Times New Roman"/>
          <w:sz w:val="24"/>
          <w:szCs w:val="24"/>
        </w:rPr>
      </w:pPr>
      <w:r w:rsidRPr="0094472A">
        <w:rPr>
          <w:rFonts w:ascii="Times New Roman" w:eastAsia="Calibri" w:hAnsi="Times New Roman" w:cs="Times New Roman"/>
          <w:sz w:val="24"/>
          <w:szCs w:val="24"/>
        </w:rPr>
        <w:t xml:space="preserve">Referans tıbbi üründe gözlenmeyen </w:t>
      </w:r>
      <w:proofErr w:type="spellStart"/>
      <w:r w:rsidRPr="0094472A">
        <w:rPr>
          <w:rFonts w:ascii="Times New Roman" w:eastAsia="Calibri" w:hAnsi="Times New Roman" w:cs="Times New Roman"/>
          <w:sz w:val="24"/>
          <w:szCs w:val="24"/>
        </w:rPr>
        <w:t>glikozilasyon</w:t>
      </w:r>
      <w:proofErr w:type="spellEnd"/>
      <w:r w:rsidRPr="0094472A">
        <w:rPr>
          <w:rFonts w:ascii="Times New Roman" w:eastAsia="Calibri" w:hAnsi="Times New Roman" w:cs="Times New Roman"/>
          <w:sz w:val="24"/>
          <w:szCs w:val="24"/>
        </w:rPr>
        <w:t xml:space="preserve"> </w:t>
      </w:r>
      <w:proofErr w:type="spellStart"/>
      <w:r w:rsidR="00B3259B" w:rsidRPr="0094472A">
        <w:rPr>
          <w:rFonts w:ascii="Times New Roman" w:eastAsia="Calibri" w:hAnsi="Times New Roman" w:cs="Times New Roman"/>
          <w:sz w:val="24"/>
          <w:szCs w:val="24"/>
        </w:rPr>
        <w:t>paterni</w:t>
      </w:r>
      <w:proofErr w:type="spellEnd"/>
      <w:r w:rsidR="00B3259B" w:rsidRPr="0094472A">
        <w:rPr>
          <w:rFonts w:ascii="Times New Roman" w:eastAsia="Calibri" w:hAnsi="Times New Roman" w:cs="Times New Roman"/>
          <w:sz w:val="24"/>
          <w:szCs w:val="24"/>
        </w:rPr>
        <w:t xml:space="preserve"> </w:t>
      </w:r>
      <w:r w:rsidRPr="0094472A">
        <w:rPr>
          <w:rFonts w:ascii="Times New Roman" w:eastAsia="Calibri" w:hAnsi="Times New Roman" w:cs="Times New Roman"/>
          <w:sz w:val="24"/>
          <w:szCs w:val="24"/>
        </w:rPr>
        <w:t>veya varyantların varlığına dikkat edilmeli ve özellikle insanlarda bulunmayan yapılara (insanda bulunmayan bağlar, dizilimler veya şekerler</w:t>
      </w:r>
      <w:r w:rsidR="00CA475D" w:rsidRPr="0094472A">
        <w:rPr>
          <w:rFonts w:ascii="Times New Roman" w:eastAsia="Calibri" w:hAnsi="Times New Roman" w:cs="Times New Roman"/>
          <w:sz w:val="24"/>
          <w:szCs w:val="24"/>
        </w:rPr>
        <w:t>) dikkat</w:t>
      </w:r>
      <w:r w:rsidRPr="0094472A">
        <w:rPr>
          <w:rFonts w:ascii="Times New Roman" w:eastAsia="Calibri" w:hAnsi="Times New Roman" w:cs="Times New Roman"/>
          <w:sz w:val="24"/>
          <w:szCs w:val="24"/>
        </w:rPr>
        <w:t xml:space="preserve"> edilerek uygun gerekçelendirme yapılmalıdır.</w:t>
      </w:r>
    </w:p>
    <w:p w14:paraId="5E29B109" w14:textId="77777777" w:rsidR="0094472A" w:rsidRPr="0094472A" w:rsidRDefault="0094472A" w:rsidP="0094472A">
      <w:pPr>
        <w:pStyle w:val="ListeParagraf"/>
        <w:numPr>
          <w:ilvl w:val="0"/>
          <w:numId w:val="20"/>
        </w:numPr>
        <w:spacing w:line="276"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Her bir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tıbbi ürüne ait üretim sürecinin sürdürülebilirliği ve nihai ürünün kararlılığının garanti altına alınması için güçlü bir kalite kontrol ve kalite güvence sistemi oluşturulmalı ve süreç sırasında izlenen tüm doğrulama işlemleri dosyada ayrıntılı olarak sunulmalıdır. </w:t>
      </w:r>
    </w:p>
    <w:p w14:paraId="00797FAA" w14:textId="77777777" w:rsidR="00113835" w:rsidRPr="00E37681" w:rsidRDefault="00113835" w:rsidP="00FF4584">
      <w:pPr>
        <w:pStyle w:val="ListeParagraf"/>
        <w:spacing w:after="0" w:line="276" w:lineRule="auto"/>
        <w:ind w:left="426"/>
        <w:jc w:val="both"/>
        <w:rPr>
          <w:rFonts w:ascii="Times New Roman" w:eastAsia="Calibri" w:hAnsi="Times New Roman" w:cs="Times New Roman"/>
          <w:sz w:val="24"/>
          <w:szCs w:val="24"/>
          <w:highlight w:val="green"/>
        </w:rPr>
      </w:pPr>
    </w:p>
    <w:p w14:paraId="5023449E" w14:textId="77777777" w:rsidR="00113835" w:rsidRPr="00FF4584" w:rsidRDefault="00113835" w:rsidP="00EA32EB">
      <w:pPr>
        <w:pStyle w:val="ListeParagraf"/>
        <w:numPr>
          <w:ilvl w:val="0"/>
          <w:numId w:val="29"/>
        </w:numPr>
        <w:spacing w:after="0" w:line="276" w:lineRule="auto"/>
        <w:ind w:left="426" w:hanging="426"/>
        <w:rPr>
          <w:rFonts w:ascii="Times New Roman" w:eastAsia="Calibri" w:hAnsi="Times New Roman" w:cs="Times New Roman"/>
          <w:b/>
          <w:sz w:val="24"/>
          <w:szCs w:val="24"/>
        </w:rPr>
      </w:pPr>
      <w:r w:rsidRPr="00FF4584">
        <w:rPr>
          <w:rFonts w:ascii="Times New Roman" w:eastAsia="Calibri" w:hAnsi="Times New Roman" w:cs="Times New Roman"/>
          <w:b/>
          <w:sz w:val="24"/>
          <w:szCs w:val="24"/>
        </w:rPr>
        <w:t>Biyolojik Aktivite</w:t>
      </w:r>
    </w:p>
    <w:p w14:paraId="740C5383" w14:textId="77777777" w:rsidR="00113835" w:rsidRPr="00FF4584" w:rsidRDefault="00113835" w:rsidP="00EA32EB">
      <w:pPr>
        <w:spacing w:after="0" w:line="276" w:lineRule="auto"/>
        <w:ind w:left="426" w:hanging="426"/>
        <w:rPr>
          <w:rFonts w:ascii="Times New Roman" w:eastAsia="Calibri" w:hAnsi="Times New Roman" w:cs="Times New Roman"/>
          <w:sz w:val="24"/>
          <w:szCs w:val="24"/>
        </w:rPr>
      </w:pPr>
    </w:p>
    <w:p w14:paraId="17ECC666" w14:textId="77777777" w:rsidR="00E413A1" w:rsidRPr="00E413A1" w:rsidRDefault="00BC5C7E" w:rsidP="00E413A1">
      <w:pPr>
        <w:pStyle w:val="ListeParagraf"/>
        <w:numPr>
          <w:ilvl w:val="0"/>
          <w:numId w:val="21"/>
        </w:numPr>
        <w:jc w:val="both"/>
        <w:rPr>
          <w:rFonts w:ascii="Times New Roman" w:eastAsia="Calibri" w:hAnsi="Times New Roman" w:cs="Times New Roman"/>
          <w:sz w:val="24"/>
          <w:szCs w:val="24"/>
        </w:rPr>
      </w:pP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karşılaştırılabilirlik</w:t>
      </w:r>
      <w:proofErr w:type="spellEnd"/>
      <w:r w:rsidRPr="00FF4584">
        <w:rPr>
          <w:rFonts w:ascii="Times New Roman" w:eastAsia="Calibri" w:hAnsi="Times New Roman" w:cs="Times New Roman"/>
          <w:sz w:val="24"/>
          <w:szCs w:val="24"/>
        </w:rPr>
        <w:t xml:space="preserve"> çalışmasında, tam bir </w:t>
      </w:r>
      <w:proofErr w:type="spellStart"/>
      <w:r w:rsidRPr="00FF4584">
        <w:rPr>
          <w:rFonts w:ascii="Times New Roman" w:eastAsia="Calibri" w:hAnsi="Times New Roman" w:cs="Times New Roman"/>
          <w:sz w:val="24"/>
          <w:szCs w:val="24"/>
        </w:rPr>
        <w:t>karakterizasyon</w:t>
      </w:r>
      <w:proofErr w:type="spellEnd"/>
      <w:r w:rsidRPr="00FF4584">
        <w:rPr>
          <w:rFonts w:ascii="Times New Roman" w:eastAsia="Calibri" w:hAnsi="Times New Roman" w:cs="Times New Roman"/>
          <w:sz w:val="24"/>
          <w:szCs w:val="24"/>
        </w:rPr>
        <w:t xml:space="preserve"> profili oluşturmak </w:t>
      </w:r>
      <w:proofErr w:type="gramStart"/>
      <w:r w:rsidRPr="00FF4584">
        <w:rPr>
          <w:rFonts w:ascii="Times New Roman" w:eastAsia="Calibri" w:hAnsi="Times New Roman" w:cs="Times New Roman"/>
          <w:sz w:val="24"/>
          <w:szCs w:val="24"/>
        </w:rPr>
        <w:t xml:space="preserve">için  </w:t>
      </w:r>
      <w:proofErr w:type="spellStart"/>
      <w:r w:rsidRPr="00FF4584">
        <w:rPr>
          <w:rFonts w:ascii="Times New Roman" w:eastAsia="Calibri" w:hAnsi="Times New Roman" w:cs="Times New Roman"/>
          <w:sz w:val="24"/>
          <w:szCs w:val="24"/>
        </w:rPr>
        <w:t>biyobenzer</w:t>
      </w:r>
      <w:proofErr w:type="spellEnd"/>
      <w:proofErr w:type="gramEnd"/>
      <w:r w:rsidR="00BE40A4" w:rsidRPr="00FF4584">
        <w:rPr>
          <w:rFonts w:ascii="Times New Roman" w:eastAsia="Calibri" w:hAnsi="Times New Roman" w:cs="Times New Roman"/>
          <w:sz w:val="24"/>
          <w:szCs w:val="24"/>
        </w:rPr>
        <w:t xml:space="preserve"> tıbbi ürün</w:t>
      </w:r>
      <w:r w:rsidRPr="00FF4584">
        <w:rPr>
          <w:rFonts w:ascii="Times New Roman" w:eastAsia="Calibri" w:hAnsi="Times New Roman" w:cs="Times New Roman"/>
          <w:sz w:val="24"/>
          <w:szCs w:val="24"/>
        </w:rPr>
        <w:t xml:space="preserve"> ve referans tıbbi ürünün biyolojik özelliklerinin değerlendirmesi temel adımdır.</w:t>
      </w:r>
    </w:p>
    <w:p w14:paraId="7183E9A1" w14:textId="77777777" w:rsidR="00113835" w:rsidRDefault="00BC5C7E" w:rsidP="00E413A1">
      <w:pPr>
        <w:pStyle w:val="ListeParagraf"/>
        <w:numPr>
          <w:ilvl w:val="0"/>
          <w:numId w:val="21"/>
        </w:numPr>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Biyolojik aktivite, ürünün tanımlanmış bir biyolojik etkiyi oluşturabilmek için </w:t>
      </w:r>
      <w:r w:rsidR="00585B52" w:rsidRPr="00FF4584">
        <w:rPr>
          <w:rFonts w:ascii="Times New Roman" w:eastAsia="Calibri" w:hAnsi="Times New Roman" w:cs="Times New Roman"/>
          <w:sz w:val="24"/>
          <w:szCs w:val="24"/>
        </w:rPr>
        <w:t xml:space="preserve">özgül </w:t>
      </w:r>
      <w:r w:rsidRPr="00FF4584">
        <w:rPr>
          <w:rFonts w:ascii="Times New Roman" w:eastAsia="Calibri" w:hAnsi="Times New Roman" w:cs="Times New Roman"/>
          <w:sz w:val="24"/>
          <w:szCs w:val="24"/>
        </w:rPr>
        <w:t>yeterliliği veya kapasitesi olarak tanımlanmaktadır. Biyolojik aktiviteyi ölçmek için farklı ve birbirini tamamlayıcı yaklaşımlar kullanılmalıdır. Ürünün biyolojik özelliklerine ve analiz yöntemlerinin kısıtlarına bağlı olarak farklı analizler (</w:t>
      </w:r>
      <w:proofErr w:type="spellStart"/>
      <w:r w:rsidRPr="00FF4584">
        <w:rPr>
          <w:rFonts w:ascii="Times New Roman" w:eastAsia="Calibri" w:hAnsi="Times New Roman" w:cs="Times New Roman"/>
          <w:sz w:val="24"/>
          <w:szCs w:val="24"/>
        </w:rPr>
        <w:t>örn</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ligand</w:t>
      </w:r>
      <w:proofErr w:type="spellEnd"/>
      <w:r w:rsidRPr="00FF4584">
        <w:rPr>
          <w:rFonts w:ascii="Times New Roman" w:eastAsia="Calibri" w:hAnsi="Times New Roman" w:cs="Times New Roman"/>
          <w:sz w:val="24"/>
          <w:szCs w:val="24"/>
        </w:rPr>
        <w:t xml:space="preserve"> veya reseptör bağlanma analizleri, </w:t>
      </w:r>
      <w:proofErr w:type="spellStart"/>
      <w:r w:rsidRPr="00FF4584">
        <w:rPr>
          <w:rFonts w:ascii="Times New Roman" w:eastAsia="Calibri" w:hAnsi="Times New Roman" w:cs="Times New Roman"/>
          <w:sz w:val="24"/>
          <w:szCs w:val="24"/>
        </w:rPr>
        <w:t>enzimatik</w:t>
      </w:r>
      <w:proofErr w:type="spellEnd"/>
      <w:r w:rsidRPr="00FF4584">
        <w:rPr>
          <w:rFonts w:ascii="Times New Roman" w:eastAsia="Calibri" w:hAnsi="Times New Roman" w:cs="Times New Roman"/>
          <w:sz w:val="24"/>
          <w:szCs w:val="24"/>
        </w:rPr>
        <w:t xml:space="preserve"> analizler, hücre temelli analizler, </w:t>
      </w:r>
      <w:r w:rsidR="0046178F" w:rsidRPr="00FF4584">
        <w:rPr>
          <w:rFonts w:ascii="Times New Roman" w:eastAsia="Calibri" w:hAnsi="Times New Roman" w:cs="Times New Roman"/>
          <w:sz w:val="24"/>
          <w:szCs w:val="24"/>
        </w:rPr>
        <w:t xml:space="preserve">işlevsel </w:t>
      </w:r>
      <w:r w:rsidRPr="00FF4584">
        <w:rPr>
          <w:rFonts w:ascii="Times New Roman" w:eastAsia="Calibri" w:hAnsi="Times New Roman" w:cs="Times New Roman"/>
          <w:sz w:val="24"/>
          <w:szCs w:val="24"/>
        </w:rPr>
        <w:t xml:space="preserve">analizler gibi) kullanılabilir. </w:t>
      </w:r>
    </w:p>
    <w:p w14:paraId="6CA6B6A1" w14:textId="77777777" w:rsidR="00113835" w:rsidRPr="00701D35" w:rsidRDefault="00BC5C7E" w:rsidP="00E413A1">
      <w:pPr>
        <w:pStyle w:val="ListeParagraf"/>
        <w:numPr>
          <w:ilvl w:val="0"/>
          <w:numId w:val="21"/>
        </w:numPr>
        <w:jc w:val="both"/>
        <w:rPr>
          <w:rFonts w:ascii="Times New Roman" w:eastAsia="Calibri" w:hAnsi="Times New Roman" w:cs="Times New Roman"/>
          <w:sz w:val="24"/>
          <w:szCs w:val="24"/>
        </w:rPr>
      </w:pPr>
      <w:r w:rsidRPr="00701D35">
        <w:rPr>
          <w:rFonts w:ascii="Times New Roman" w:eastAsia="Calibri" w:hAnsi="Times New Roman" w:cs="Times New Roman"/>
          <w:sz w:val="24"/>
          <w:szCs w:val="24"/>
        </w:rPr>
        <w:lastRenderedPageBreak/>
        <w:t xml:space="preserve">Tek tip </w:t>
      </w:r>
      <w:proofErr w:type="spellStart"/>
      <w:r w:rsidRPr="00701D35">
        <w:rPr>
          <w:rFonts w:ascii="Times New Roman" w:eastAsia="Calibri" w:hAnsi="Times New Roman" w:cs="Times New Roman"/>
          <w:sz w:val="24"/>
          <w:szCs w:val="24"/>
        </w:rPr>
        <w:t>biyotayin</w:t>
      </w:r>
      <w:proofErr w:type="spellEnd"/>
      <w:r w:rsidRPr="00701D35">
        <w:rPr>
          <w:rFonts w:ascii="Times New Roman" w:eastAsia="Calibri" w:hAnsi="Times New Roman" w:cs="Times New Roman"/>
          <w:sz w:val="24"/>
          <w:szCs w:val="24"/>
        </w:rPr>
        <w:t xml:space="preserve"> kullanıldığı durumlarda, yöntemin </w:t>
      </w:r>
      <w:proofErr w:type="spellStart"/>
      <w:r w:rsidRPr="00701D35">
        <w:rPr>
          <w:rFonts w:ascii="Times New Roman" w:eastAsia="Calibri" w:hAnsi="Times New Roman" w:cs="Times New Roman"/>
          <w:sz w:val="24"/>
          <w:szCs w:val="24"/>
        </w:rPr>
        <w:t>validasyonu</w:t>
      </w:r>
      <w:proofErr w:type="spellEnd"/>
      <w:r w:rsidRPr="00701D35">
        <w:rPr>
          <w:rFonts w:ascii="Times New Roman" w:eastAsia="Calibri" w:hAnsi="Times New Roman" w:cs="Times New Roman"/>
          <w:sz w:val="24"/>
          <w:szCs w:val="24"/>
        </w:rPr>
        <w:t xml:space="preserve"> bakımından sınırları karşılamak için birbiri yerine kullanılan veya birbirini tamamlayan yaklaşımlar uygulanmalıdır. </w:t>
      </w:r>
      <w:r w:rsidR="008522B5" w:rsidRPr="00701D35">
        <w:rPr>
          <w:rFonts w:ascii="Times New Roman" w:eastAsia="Calibri" w:hAnsi="Times New Roman" w:cs="Times New Roman"/>
          <w:b/>
          <w:sz w:val="24"/>
          <w:szCs w:val="24"/>
        </w:rPr>
        <w:t xml:space="preserve"> </w:t>
      </w:r>
    </w:p>
    <w:p w14:paraId="52B9231E" w14:textId="77777777" w:rsidR="00113835" w:rsidRPr="009650DE" w:rsidRDefault="00BC5C7E" w:rsidP="00EA37CE">
      <w:pPr>
        <w:pStyle w:val="ListeParagraf"/>
        <w:numPr>
          <w:ilvl w:val="0"/>
          <w:numId w:val="21"/>
        </w:numPr>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Geçerli olduğu durumlarda reseptörlerin bağlanma ve aktivasyonunu değerlendirmek için farklı analizlerden faydalanılmalıdır. Uygun koşullarda, başvuru </w:t>
      </w:r>
      <w:proofErr w:type="gramStart"/>
      <w:r w:rsidRPr="00FF4584">
        <w:rPr>
          <w:rFonts w:ascii="Times New Roman" w:eastAsia="Calibri" w:hAnsi="Times New Roman" w:cs="Times New Roman"/>
          <w:sz w:val="24"/>
          <w:szCs w:val="24"/>
        </w:rPr>
        <w:t>dosyasının  klinik</w:t>
      </w:r>
      <w:proofErr w:type="gramEnd"/>
      <w:r w:rsidRPr="00FF4584">
        <w:rPr>
          <w:rFonts w:ascii="Times New Roman" w:eastAsia="Calibri" w:hAnsi="Times New Roman" w:cs="Times New Roman"/>
          <w:sz w:val="24"/>
          <w:szCs w:val="24"/>
        </w:rPr>
        <w:t xml:space="preserve"> </w:t>
      </w:r>
      <w:r w:rsidR="00916746" w:rsidRPr="00FF4584">
        <w:rPr>
          <w:rFonts w:ascii="Times New Roman" w:eastAsia="Calibri" w:hAnsi="Times New Roman" w:cs="Times New Roman"/>
          <w:sz w:val="24"/>
          <w:szCs w:val="24"/>
        </w:rPr>
        <w:t>dışı</w:t>
      </w:r>
      <w:r w:rsidRPr="00FF4584">
        <w:rPr>
          <w:rFonts w:ascii="Times New Roman" w:eastAsia="Calibri" w:hAnsi="Times New Roman" w:cs="Times New Roman"/>
          <w:sz w:val="24"/>
          <w:szCs w:val="24"/>
        </w:rPr>
        <w:t xml:space="preserve"> ve/veya klinik bölümlerine çapraz referans yapılabilir. Biyolojik tayinlerin hassas, özgül ve yeterli düzeyde ayırt edici olduğu gösterilmelidir. Geçerli biyolojik tayin</w:t>
      </w:r>
      <w:r w:rsidR="003910A4">
        <w:rPr>
          <w:rFonts w:ascii="Times New Roman" w:eastAsia="Calibri" w:hAnsi="Times New Roman" w:cs="Times New Roman"/>
          <w:sz w:val="24"/>
          <w:szCs w:val="24"/>
        </w:rPr>
        <w:t>/tayinlerin sonuçları</w:t>
      </w:r>
      <w:r w:rsidRPr="00FF4584">
        <w:rPr>
          <w:rFonts w:ascii="Times New Roman" w:eastAsia="Calibri" w:hAnsi="Times New Roman" w:cs="Times New Roman"/>
          <w:sz w:val="24"/>
          <w:szCs w:val="24"/>
        </w:rPr>
        <w:t>, mevcut ve uygun olduğu durumlarda, ulusal veya uluslararası</w:t>
      </w:r>
      <w:r w:rsidRPr="00FF4584" w:rsidDel="00227FA5">
        <w:rPr>
          <w:rFonts w:ascii="Times New Roman" w:eastAsia="Calibri" w:hAnsi="Times New Roman" w:cs="Times New Roman"/>
          <w:sz w:val="24"/>
          <w:szCs w:val="24"/>
        </w:rPr>
        <w:t xml:space="preserve"> </w:t>
      </w:r>
      <w:r w:rsidRPr="00FF4584">
        <w:rPr>
          <w:rFonts w:ascii="Times New Roman" w:eastAsia="Calibri" w:hAnsi="Times New Roman" w:cs="Times New Roman"/>
          <w:sz w:val="24"/>
          <w:szCs w:val="24"/>
        </w:rPr>
        <w:t>bir referans standarda karşı kalibre edilen aktivite birimleri cinsinden ifade edilmelidir. Bu analizler eğer uygulanabilir ise, biyol</w:t>
      </w:r>
      <w:r w:rsidR="00916746" w:rsidRPr="00FF4584">
        <w:rPr>
          <w:rFonts w:ascii="Times New Roman" w:eastAsia="Calibri" w:hAnsi="Times New Roman" w:cs="Times New Roman"/>
          <w:sz w:val="24"/>
          <w:szCs w:val="24"/>
        </w:rPr>
        <w:t>ojik analizler için uygun olan</w:t>
      </w:r>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Farmakope</w:t>
      </w:r>
      <w:proofErr w:type="spellEnd"/>
      <w:r w:rsidRPr="00FF4584">
        <w:rPr>
          <w:rFonts w:ascii="Times New Roman" w:eastAsia="Calibri" w:hAnsi="Times New Roman" w:cs="Times New Roman"/>
          <w:sz w:val="24"/>
          <w:szCs w:val="24"/>
        </w:rPr>
        <w:t xml:space="preserve"> gerekliliklerine uyumlu olmalıdır.</w:t>
      </w:r>
      <w:r w:rsidR="009650DE" w:rsidRPr="00FF4584">
        <w:rPr>
          <w:rFonts w:ascii="Times New Roman" w:eastAsia="Calibri" w:hAnsi="Times New Roman" w:cs="Times New Roman"/>
          <w:sz w:val="24"/>
          <w:szCs w:val="24"/>
        </w:rPr>
        <w:t xml:space="preserve"> </w:t>
      </w:r>
    </w:p>
    <w:p w14:paraId="23850DA4" w14:textId="77777777" w:rsidR="00113835" w:rsidRPr="00EA32EB" w:rsidRDefault="00113835" w:rsidP="00EA32EB">
      <w:pPr>
        <w:spacing w:after="0" w:line="276" w:lineRule="auto"/>
        <w:ind w:left="426" w:hanging="426"/>
        <w:jc w:val="both"/>
        <w:rPr>
          <w:rFonts w:ascii="Times New Roman" w:eastAsia="Calibri" w:hAnsi="Times New Roman" w:cs="Times New Roman"/>
          <w:sz w:val="24"/>
          <w:szCs w:val="24"/>
          <w:highlight w:val="green"/>
        </w:rPr>
      </w:pPr>
    </w:p>
    <w:p w14:paraId="42691AF4" w14:textId="77777777" w:rsidR="00113835" w:rsidRPr="00FF4584" w:rsidRDefault="00DC471C" w:rsidP="00EA32EB">
      <w:pPr>
        <w:spacing w:after="0" w:line="276" w:lineRule="auto"/>
        <w:ind w:left="426" w:hanging="426"/>
        <w:rPr>
          <w:rFonts w:ascii="Times New Roman" w:eastAsia="Calibri" w:hAnsi="Times New Roman" w:cs="Times New Roman"/>
          <w:b/>
          <w:sz w:val="24"/>
          <w:szCs w:val="24"/>
        </w:rPr>
      </w:pPr>
      <w:r w:rsidRPr="00FF4584">
        <w:rPr>
          <w:rFonts w:ascii="Times New Roman" w:eastAsia="Calibri" w:hAnsi="Times New Roman" w:cs="Times New Roman"/>
          <w:b/>
          <w:sz w:val="24"/>
          <w:szCs w:val="24"/>
        </w:rPr>
        <w:t xml:space="preserve">c) </w:t>
      </w:r>
      <w:proofErr w:type="spellStart"/>
      <w:r w:rsidRPr="00FF4584">
        <w:rPr>
          <w:rFonts w:ascii="Times New Roman" w:eastAsia="Calibri" w:hAnsi="Times New Roman" w:cs="Times New Roman"/>
          <w:b/>
          <w:sz w:val="24"/>
          <w:szCs w:val="24"/>
        </w:rPr>
        <w:t>İmmünokimyasal</w:t>
      </w:r>
      <w:proofErr w:type="spellEnd"/>
      <w:r w:rsidRPr="00FF4584">
        <w:rPr>
          <w:rFonts w:ascii="Times New Roman" w:eastAsia="Calibri" w:hAnsi="Times New Roman" w:cs="Times New Roman"/>
          <w:b/>
          <w:sz w:val="24"/>
          <w:szCs w:val="24"/>
        </w:rPr>
        <w:t xml:space="preserve"> Özellikler</w:t>
      </w:r>
    </w:p>
    <w:p w14:paraId="553BDC54" w14:textId="77777777" w:rsidR="00113835" w:rsidRPr="00FF4584" w:rsidRDefault="00113835" w:rsidP="00EA32EB">
      <w:pPr>
        <w:spacing w:after="0" w:line="276" w:lineRule="auto"/>
        <w:ind w:left="426" w:hanging="426"/>
        <w:rPr>
          <w:rFonts w:ascii="Times New Roman" w:eastAsia="Calibri" w:hAnsi="Times New Roman" w:cs="Times New Roman"/>
          <w:sz w:val="24"/>
          <w:szCs w:val="24"/>
        </w:rPr>
      </w:pPr>
    </w:p>
    <w:p w14:paraId="74806C9C" w14:textId="77777777" w:rsidR="00113835" w:rsidRPr="00FF4584" w:rsidRDefault="00924A2C" w:rsidP="00EA37CE">
      <w:pPr>
        <w:pStyle w:val="ListeParagraf"/>
        <w:numPr>
          <w:ilvl w:val="0"/>
          <w:numId w:val="22"/>
        </w:numPr>
        <w:jc w:val="both"/>
        <w:rPr>
          <w:rFonts w:ascii="Times New Roman" w:eastAsia="Calibri" w:hAnsi="Times New Roman" w:cs="Times New Roman"/>
          <w:sz w:val="24"/>
          <w:szCs w:val="24"/>
        </w:rPr>
      </w:pPr>
      <w:proofErr w:type="spellStart"/>
      <w:r w:rsidRPr="00FF4584">
        <w:rPr>
          <w:rFonts w:ascii="Times New Roman" w:eastAsia="Calibri" w:hAnsi="Times New Roman" w:cs="Times New Roman"/>
          <w:sz w:val="24"/>
          <w:szCs w:val="24"/>
        </w:rPr>
        <w:t>Monoklonal</w:t>
      </w:r>
      <w:proofErr w:type="spellEnd"/>
      <w:r w:rsidRPr="00FF4584">
        <w:rPr>
          <w:rFonts w:ascii="Times New Roman" w:eastAsia="Calibri" w:hAnsi="Times New Roman" w:cs="Times New Roman"/>
          <w:sz w:val="24"/>
          <w:szCs w:val="24"/>
        </w:rPr>
        <w:t xml:space="preserve"> antikorlar ve ilgili maddelerin (</w:t>
      </w:r>
      <w:proofErr w:type="spellStart"/>
      <w:r w:rsidRPr="00FF4584">
        <w:rPr>
          <w:rFonts w:ascii="Times New Roman" w:eastAsia="Calibri" w:hAnsi="Times New Roman" w:cs="Times New Roman"/>
          <w:sz w:val="24"/>
          <w:szCs w:val="24"/>
        </w:rPr>
        <w:t>lgG</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Fc</w:t>
      </w:r>
      <w:proofErr w:type="spellEnd"/>
      <w:r w:rsidRPr="00FF4584">
        <w:rPr>
          <w:rFonts w:ascii="Times New Roman" w:eastAsia="Calibri" w:hAnsi="Times New Roman" w:cs="Times New Roman"/>
          <w:sz w:val="24"/>
          <w:szCs w:val="24"/>
        </w:rPr>
        <w:t xml:space="preserve"> kısmıyla yapılmış füzyon proteinler gibi) immünolojik işlevleri, referans t</w:t>
      </w:r>
      <w:r w:rsidR="007543A5" w:rsidRPr="00FF4584">
        <w:rPr>
          <w:rFonts w:ascii="Times New Roman" w:eastAsia="Calibri" w:hAnsi="Times New Roman" w:cs="Times New Roman"/>
          <w:sz w:val="24"/>
          <w:szCs w:val="24"/>
        </w:rPr>
        <w:t>ı</w:t>
      </w:r>
      <w:r w:rsidRPr="00FF4584">
        <w:rPr>
          <w:rFonts w:ascii="Times New Roman" w:eastAsia="Calibri" w:hAnsi="Times New Roman" w:cs="Times New Roman"/>
          <w:sz w:val="24"/>
          <w:szCs w:val="24"/>
        </w:rPr>
        <w:t xml:space="preserve">bbi ürün ile tümüyle karşılaştırılmalıdır. Bu doğrultuda, ürünlerin amaçlanan hedef için </w:t>
      </w:r>
      <w:proofErr w:type="spellStart"/>
      <w:r w:rsidRPr="00FF4584">
        <w:rPr>
          <w:rFonts w:ascii="Times New Roman" w:eastAsia="Calibri" w:hAnsi="Times New Roman" w:cs="Times New Roman"/>
          <w:sz w:val="24"/>
          <w:szCs w:val="24"/>
        </w:rPr>
        <w:t>afinitelerinin</w:t>
      </w:r>
      <w:proofErr w:type="spellEnd"/>
      <w:r w:rsidRPr="00FF4584">
        <w:rPr>
          <w:rFonts w:ascii="Times New Roman" w:eastAsia="Calibri" w:hAnsi="Times New Roman" w:cs="Times New Roman"/>
          <w:sz w:val="24"/>
          <w:szCs w:val="24"/>
        </w:rPr>
        <w:t xml:space="preserve"> karşılaştırması gerekmektedir. </w:t>
      </w:r>
    </w:p>
    <w:p w14:paraId="7DD3A4AA" w14:textId="77777777" w:rsidR="00113835" w:rsidRDefault="00924A2C" w:rsidP="00EA37CE">
      <w:pPr>
        <w:pStyle w:val="ListeParagraf"/>
        <w:numPr>
          <w:ilvl w:val="0"/>
          <w:numId w:val="22"/>
        </w:numPr>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Buna ek olarak, </w:t>
      </w:r>
      <w:proofErr w:type="spellStart"/>
      <w:r w:rsidRPr="00FF4584">
        <w:rPr>
          <w:rFonts w:ascii="Times New Roman" w:eastAsia="Calibri" w:hAnsi="Times New Roman" w:cs="Times New Roman"/>
          <w:sz w:val="24"/>
          <w:szCs w:val="24"/>
        </w:rPr>
        <w:t>Fc’nin</w:t>
      </w:r>
      <w:proofErr w:type="spellEnd"/>
      <w:r w:rsidRPr="00FF4584">
        <w:rPr>
          <w:rFonts w:ascii="Times New Roman" w:eastAsia="Calibri" w:hAnsi="Times New Roman" w:cs="Times New Roman"/>
          <w:sz w:val="24"/>
          <w:szCs w:val="24"/>
        </w:rPr>
        <w:t xml:space="preserve"> ilgili reseptörlere bağlanma </w:t>
      </w:r>
      <w:proofErr w:type="spellStart"/>
      <w:r w:rsidRPr="00FF4584">
        <w:rPr>
          <w:rFonts w:ascii="Times New Roman" w:eastAsia="Calibri" w:hAnsi="Times New Roman" w:cs="Times New Roman"/>
          <w:sz w:val="24"/>
          <w:szCs w:val="24"/>
        </w:rPr>
        <w:t>afinitesi</w:t>
      </w:r>
      <w:proofErr w:type="spellEnd"/>
      <w:r w:rsidRPr="00FF4584">
        <w:rPr>
          <w:rFonts w:ascii="Times New Roman" w:eastAsia="Calibri" w:hAnsi="Times New Roman" w:cs="Times New Roman"/>
          <w:sz w:val="24"/>
          <w:szCs w:val="24"/>
        </w:rPr>
        <w:t xml:space="preserve"> de (örnek olarak, </w:t>
      </w:r>
      <w:proofErr w:type="spellStart"/>
      <w:r w:rsidRPr="00FF4584">
        <w:rPr>
          <w:rFonts w:ascii="Times New Roman" w:eastAsia="Calibri" w:hAnsi="Times New Roman" w:cs="Times New Roman"/>
          <w:sz w:val="24"/>
          <w:szCs w:val="24"/>
        </w:rPr>
        <w:t>F</w:t>
      </w:r>
      <w:r w:rsidR="003F1DAD" w:rsidRPr="00FF4584">
        <w:rPr>
          <w:rFonts w:ascii="Times New Roman" w:eastAsia="Calibri" w:hAnsi="Times New Roman" w:cs="Times New Roman"/>
          <w:sz w:val="24"/>
          <w:szCs w:val="24"/>
        </w:rPr>
        <w:t>cR</w:t>
      </w:r>
      <w:proofErr w:type="spellEnd"/>
      <w:r w:rsidRPr="00FF4584">
        <w:rPr>
          <w:rFonts w:ascii="Times New Roman" w:eastAsia="Calibri" w:hAnsi="Times New Roman" w:cs="Times New Roman"/>
          <w:sz w:val="24"/>
          <w:szCs w:val="24"/>
        </w:rPr>
        <w:t xml:space="preserve">, C1q, </w:t>
      </w:r>
      <w:proofErr w:type="spellStart"/>
      <w:r w:rsidRPr="00FF4584">
        <w:rPr>
          <w:rFonts w:ascii="Times New Roman" w:eastAsia="Calibri" w:hAnsi="Times New Roman" w:cs="Times New Roman"/>
          <w:sz w:val="24"/>
          <w:szCs w:val="24"/>
        </w:rPr>
        <w:t>FcRn</w:t>
      </w:r>
      <w:proofErr w:type="spellEnd"/>
      <w:r w:rsidRPr="00FF4584">
        <w:rPr>
          <w:rFonts w:ascii="Times New Roman" w:eastAsia="Calibri" w:hAnsi="Times New Roman" w:cs="Times New Roman"/>
          <w:sz w:val="24"/>
          <w:szCs w:val="24"/>
        </w:rPr>
        <w:t xml:space="preserve">) gerekçelendirilmediği sürece karşılaştırılmalıdır. Ayrıca </w:t>
      </w:r>
      <w:proofErr w:type="spellStart"/>
      <w:r w:rsidRPr="00FF4584">
        <w:rPr>
          <w:rFonts w:ascii="Times New Roman" w:eastAsia="Calibri" w:hAnsi="Times New Roman" w:cs="Times New Roman"/>
          <w:sz w:val="24"/>
          <w:szCs w:val="24"/>
        </w:rPr>
        <w:t>Fab</w:t>
      </w:r>
      <w:proofErr w:type="spellEnd"/>
      <w:r w:rsidRPr="00FF4584">
        <w:rPr>
          <w:rFonts w:ascii="Times New Roman" w:eastAsia="Calibri" w:hAnsi="Times New Roman" w:cs="Times New Roman"/>
          <w:sz w:val="24"/>
          <w:szCs w:val="24"/>
        </w:rPr>
        <w:t xml:space="preserve">- ve </w:t>
      </w:r>
      <w:proofErr w:type="spellStart"/>
      <w:r w:rsidRPr="00FF4584">
        <w:rPr>
          <w:rFonts w:ascii="Times New Roman" w:eastAsia="Calibri" w:hAnsi="Times New Roman" w:cs="Times New Roman"/>
          <w:sz w:val="24"/>
          <w:szCs w:val="24"/>
        </w:rPr>
        <w:t>Fc</w:t>
      </w:r>
      <w:proofErr w:type="spellEnd"/>
      <w:r w:rsidRPr="00FF4584">
        <w:rPr>
          <w:rFonts w:ascii="Times New Roman" w:eastAsia="Calibri" w:hAnsi="Times New Roman" w:cs="Times New Roman"/>
          <w:sz w:val="24"/>
          <w:szCs w:val="24"/>
        </w:rPr>
        <w:t xml:space="preserve"> ilişkili </w:t>
      </w:r>
      <w:proofErr w:type="spellStart"/>
      <w:r w:rsidRPr="00FF4584">
        <w:rPr>
          <w:rFonts w:ascii="Times New Roman" w:eastAsia="Calibri" w:hAnsi="Times New Roman" w:cs="Times New Roman"/>
          <w:sz w:val="24"/>
          <w:szCs w:val="24"/>
        </w:rPr>
        <w:t>efektör</w:t>
      </w:r>
      <w:proofErr w:type="spellEnd"/>
      <w:r w:rsidRPr="00FF4584">
        <w:rPr>
          <w:rFonts w:ascii="Times New Roman" w:eastAsia="Calibri" w:hAnsi="Times New Roman" w:cs="Times New Roman"/>
          <w:sz w:val="24"/>
          <w:szCs w:val="24"/>
        </w:rPr>
        <w:t xml:space="preserve"> işlevlerini tetikleme yeterliliğini karşılaştırmak için uygun yöntemler kullanılmalıdır.</w:t>
      </w:r>
      <w:r w:rsidR="005B4F77" w:rsidRPr="00FF4584">
        <w:rPr>
          <w:rFonts w:ascii="Times New Roman" w:eastAsia="Calibri" w:hAnsi="Times New Roman" w:cs="Times New Roman"/>
          <w:sz w:val="24"/>
          <w:szCs w:val="24"/>
        </w:rPr>
        <w:t xml:space="preserve"> </w:t>
      </w:r>
    </w:p>
    <w:p w14:paraId="3B6101AC" w14:textId="77777777" w:rsidR="005B4F77" w:rsidRPr="005B4F77" w:rsidRDefault="005B4F77" w:rsidP="00EA32EB">
      <w:pPr>
        <w:jc w:val="both"/>
        <w:rPr>
          <w:rFonts w:ascii="Times New Roman" w:eastAsia="Calibri" w:hAnsi="Times New Roman" w:cs="Times New Roman"/>
          <w:sz w:val="24"/>
          <w:szCs w:val="24"/>
        </w:rPr>
      </w:pPr>
    </w:p>
    <w:p w14:paraId="1389FD54" w14:textId="77777777" w:rsidR="00113835" w:rsidRPr="00FF4584" w:rsidRDefault="00EA045B" w:rsidP="00EA32EB">
      <w:pPr>
        <w:ind w:left="426" w:hanging="426"/>
        <w:jc w:val="both"/>
        <w:rPr>
          <w:rFonts w:ascii="Times New Roman" w:eastAsia="Calibri" w:hAnsi="Times New Roman" w:cs="Times New Roman"/>
          <w:b/>
          <w:sz w:val="24"/>
          <w:szCs w:val="24"/>
        </w:rPr>
      </w:pPr>
      <w:r w:rsidRPr="00FF4584">
        <w:rPr>
          <w:rFonts w:ascii="Times New Roman" w:eastAsia="Calibri" w:hAnsi="Times New Roman" w:cs="Times New Roman"/>
          <w:sz w:val="24"/>
          <w:szCs w:val="24"/>
        </w:rPr>
        <w:t>ç)</w:t>
      </w:r>
      <w:r w:rsidR="00B838A4" w:rsidRPr="00FF4584">
        <w:rPr>
          <w:rFonts w:ascii="Times New Roman" w:eastAsia="Calibri" w:hAnsi="Times New Roman" w:cs="Times New Roman"/>
          <w:sz w:val="24"/>
          <w:szCs w:val="24"/>
        </w:rPr>
        <w:t xml:space="preserve"> </w:t>
      </w:r>
      <w:r w:rsidR="002C3099" w:rsidRPr="00FF4584">
        <w:rPr>
          <w:rFonts w:ascii="Times New Roman" w:eastAsia="Calibri" w:hAnsi="Times New Roman" w:cs="Times New Roman"/>
          <w:b/>
          <w:sz w:val="24"/>
          <w:szCs w:val="24"/>
        </w:rPr>
        <w:t xml:space="preserve">Saflık ve </w:t>
      </w:r>
      <w:proofErr w:type="spellStart"/>
      <w:r w:rsidR="002C3099" w:rsidRPr="00FF4584">
        <w:rPr>
          <w:rFonts w:ascii="Times New Roman" w:eastAsia="Calibri" w:hAnsi="Times New Roman" w:cs="Times New Roman"/>
          <w:b/>
          <w:sz w:val="24"/>
          <w:szCs w:val="24"/>
        </w:rPr>
        <w:t>Safsızlıklar</w:t>
      </w:r>
      <w:proofErr w:type="spellEnd"/>
    </w:p>
    <w:p w14:paraId="2FC82AD3" w14:textId="77777777" w:rsidR="00113835" w:rsidRPr="00FF4584" w:rsidRDefault="002C3099" w:rsidP="00936293">
      <w:pPr>
        <w:pStyle w:val="ListeParagraf"/>
        <w:numPr>
          <w:ilvl w:val="0"/>
          <w:numId w:val="23"/>
        </w:numPr>
        <w:jc w:val="both"/>
        <w:rPr>
          <w:rFonts w:ascii="Times New Roman" w:eastAsia="Calibri" w:hAnsi="Times New Roman" w:cs="Times New Roman"/>
          <w:b/>
          <w:sz w:val="24"/>
          <w:szCs w:val="24"/>
        </w:rPr>
      </w:pP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ürün </w:t>
      </w:r>
      <w:r w:rsidRPr="00FF4584">
        <w:rPr>
          <w:rFonts w:ascii="Times New Roman" w:eastAsia="Calibri" w:hAnsi="Times New Roman" w:cs="Times New Roman"/>
          <w:sz w:val="24"/>
          <w:szCs w:val="24"/>
        </w:rPr>
        <w:t xml:space="preserve">ve referans tıbbi ürünün saflık ve </w:t>
      </w:r>
      <w:proofErr w:type="spellStart"/>
      <w:r w:rsidRPr="00FF4584">
        <w:rPr>
          <w:rFonts w:ascii="Times New Roman" w:eastAsia="Calibri" w:hAnsi="Times New Roman" w:cs="Times New Roman"/>
          <w:sz w:val="24"/>
          <w:szCs w:val="24"/>
        </w:rPr>
        <w:t>safsızlık</w:t>
      </w:r>
      <w:proofErr w:type="spellEnd"/>
      <w:r w:rsidRPr="00FF4584">
        <w:rPr>
          <w:rFonts w:ascii="Times New Roman" w:eastAsia="Calibri" w:hAnsi="Times New Roman" w:cs="Times New Roman"/>
          <w:sz w:val="24"/>
          <w:szCs w:val="24"/>
        </w:rPr>
        <w:t xml:space="preserve"> </w:t>
      </w:r>
      <w:proofErr w:type="gramStart"/>
      <w:r w:rsidRPr="00FF4584">
        <w:rPr>
          <w:rFonts w:ascii="Times New Roman" w:eastAsia="Calibri" w:hAnsi="Times New Roman" w:cs="Times New Roman"/>
          <w:sz w:val="24"/>
          <w:szCs w:val="24"/>
        </w:rPr>
        <w:t>profilleri</w:t>
      </w:r>
      <w:proofErr w:type="gramEnd"/>
      <w:r w:rsidRPr="00FF4584">
        <w:rPr>
          <w:rFonts w:ascii="Times New Roman" w:eastAsia="Calibri" w:hAnsi="Times New Roman" w:cs="Times New Roman"/>
          <w:sz w:val="24"/>
          <w:szCs w:val="24"/>
        </w:rPr>
        <w:t xml:space="preserve">, farklı analitik prosedürlerin kombinasyonu ile nicelik ve nitelik olarak karşılaştırılmalıdır. Ürün ile ilgili maddeleri ve </w:t>
      </w:r>
      <w:proofErr w:type="spellStart"/>
      <w:r w:rsidRPr="00FF4584">
        <w:rPr>
          <w:rFonts w:ascii="Times New Roman" w:eastAsia="Calibri" w:hAnsi="Times New Roman" w:cs="Times New Roman"/>
          <w:sz w:val="24"/>
          <w:szCs w:val="24"/>
        </w:rPr>
        <w:t>safsızlıkları</w:t>
      </w:r>
      <w:proofErr w:type="spellEnd"/>
      <w:r w:rsidRPr="00FF4584">
        <w:rPr>
          <w:rFonts w:ascii="Times New Roman" w:eastAsia="Calibri" w:hAnsi="Times New Roman" w:cs="Times New Roman"/>
          <w:sz w:val="24"/>
          <w:szCs w:val="24"/>
        </w:rPr>
        <w:t xml:space="preserve"> belirlemek ve karşılaştırmak amacıyla temel yöntemlerin </w:t>
      </w:r>
      <w:proofErr w:type="spellStart"/>
      <w:r w:rsidRPr="00FF4584">
        <w:rPr>
          <w:rFonts w:ascii="Times New Roman" w:eastAsia="Calibri" w:hAnsi="Times New Roman" w:cs="Times New Roman"/>
          <w:sz w:val="24"/>
          <w:szCs w:val="24"/>
        </w:rPr>
        <w:t>yanısıra</w:t>
      </w:r>
      <w:proofErr w:type="spellEnd"/>
      <w:r w:rsidRPr="00FF4584">
        <w:rPr>
          <w:rFonts w:ascii="Times New Roman" w:eastAsia="Calibri" w:hAnsi="Times New Roman" w:cs="Times New Roman"/>
          <w:sz w:val="24"/>
          <w:szCs w:val="24"/>
        </w:rPr>
        <w:t xml:space="preserve"> birbirini tamamlayan ve gelişmiş yöntemler kullanılmalıdır. Bu karşılaştırmada,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w:t>
      </w:r>
      <w:r w:rsidRPr="00FF4584">
        <w:rPr>
          <w:rFonts w:ascii="Times New Roman" w:eastAsia="Calibri" w:hAnsi="Times New Roman" w:cs="Times New Roman"/>
          <w:sz w:val="24"/>
          <w:szCs w:val="24"/>
        </w:rPr>
        <w:t xml:space="preserve">ürünün </w:t>
      </w:r>
      <w:r w:rsidR="00585B52" w:rsidRPr="00FF4584">
        <w:rPr>
          <w:rFonts w:ascii="Times New Roman" w:eastAsia="Calibri" w:hAnsi="Times New Roman" w:cs="Times New Roman"/>
          <w:sz w:val="24"/>
          <w:szCs w:val="24"/>
        </w:rPr>
        <w:t xml:space="preserve">özgül </w:t>
      </w:r>
      <w:proofErr w:type="spellStart"/>
      <w:r w:rsidRPr="00FF4584">
        <w:rPr>
          <w:rFonts w:ascii="Times New Roman" w:eastAsia="Calibri" w:hAnsi="Times New Roman" w:cs="Times New Roman"/>
          <w:sz w:val="24"/>
          <w:szCs w:val="24"/>
        </w:rPr>
        <w:t>bozunma</w:t>
      </w:r>
      <w:proofErr w:type="spellEnd"/>
      <w:r w:rsidRPr="00FF4584">
        <w:rPr>
          <w:rFonts w:ascii="Times New Roman" w:eastAsia="Calibri" w:hAnsi="Times New Roman" w:cs="Times New Roman"/>
          <w:sz w:val="24"/>
          <w:szCs w:val="24"/>
        </w:rPr>
        <w:t xml:space="preserve"> yolları (</w:t>
      </w:r>
      <w:proofErr w:type="spellStart"/>
      <w:r w:rsidRPr="00FF4584">
        <w:rPr>
          <w:rFonts w:ascii="Times New Roman" w:eastAsia="Calibri" w:hAnsi="Times New Roman" w:cs="Times New Roman"/>
          <w:sz w:val="24"/>
          <w:szCs w:val="24"/>
        </w:rPr>
        <w:t>örn</w:t>
      </w:r>
      <w:proofErr w:type="spellEnd"/>
      <w:proofErr w:type="gramStart"/>
      <w:r w:rsidRPr="00FF4584">
        <w:rPr>
          <w:rFonts w:ascii="Times New Roman" w:eastAsia="Calibri" w:hAnsi="Times New Roman" w:cs="Times New Roman"/>
          <w:sz w:val="24"/>
          <w:szCs w:val="24"/>
        </w:rPr>
        <w:t>.,</w:t>
      </w:r>
      <w:proofErr w:type="gram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oksidasyon</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deamidasyon</w:t>
      </w:r>
      <w:proofErr w:type="spellEnd"/>
      <w:r w:rsidRPr="00FF4584">
        <w:rPr>
          <w:rFonts w:ascii="Times New Roman" w:eastAsia="Calibri" w:hAnsi="Times New Roman" w:cs="Times New Roman"/>
          <w:sz w:val="24"/>
          <w:szCs w:val="24"/>
        </w:rPr>
        <w:t xml:space="preserve">, </w:t>
      </w:r>
      <w:proofErr w:type="spellStart"/>
      <w:r w:rsidRPr="00FF4584">
        <w:rPr>
          <w:rFonts w:ascii="Times New Roman" w:eastAsia="Calibri" w:hAnsi="Times New Roman" w:cs="Times New Roman"/>
          <w:sz w:val="24"/>
          <w:szCs w:val="24"/>
        </w:rPr>
        <w:t>agregasyon</w:t>
      </w:r>
      <w:proofErr w:type="spellEnd"/>
      <w:r w:rsidRPr="00FF4584">
        <w:rPr>
          <w:rFonts w:ascii="Times New Roman" w:eastAsia="Calibri" w:hAnsi="Times New Roman" w:cs="Times New Roman"/>
          <w:sz w:val="24"/>
          <w:szCs w:val="24"/>
        </w:rPr>
        <w:t xml:space="preserve">) ve proteinlerin olası </w:t>
      </w:r>
      <w:proofErr w:type="spellStart"/>
      <w:r w:rsidRPr="00FF4584">
        <w:rPr>
          <w:rFonts w:ascii="Times New Roman" w:eastAsia="Calibri" w:hAnsi="Times New Roman" w:cs="Times New Roman"/>
          <w:sz w:val="24"/>
          <w:szCs w:val="24"/>
        </w:rPr>
        <w:t>translasyon</w:t>
      </w:r>
      <w:proofErr w:type="spellEnd"/>
      <w:r w:rsidRPr="00FF4584">
        <w:rPr>
          <w:rFonts w:ascii="Times New Roman" w:eastAsia="Calibri" w:hAnsi="Times New Roman" w:cs="Times New Roman"/>
          <w:sz w:val="24"/>
          <w:szCs w:val="24"/>
        </w:rPr>
        <w:t xml:space="preserve"> sonrası modifikasyonları göz önünde bulundurulmalıdır. </w:t>
      </w:r>
    </w:p>
    <w:p w14:paraId="2D1FBA0B" w14:textId="77777777" w:rsidR="001D60DF" w:rsidRDefault="002C3099" w:rsidP="00936293">
      <w:pPr>
        <w:pStyle w:val="ListeParagraf"/>
        <w:numPr>
          <w:ilvl w:val="0"/>
          <w:numId w:val="23"/>
        </w:numPr>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 xml:space="preserve">Yürütülen testler sırasında referans tıbbi ürünün yaşı/raf ömrü muhakkak belirtilmeli ve bunun kalite </w:t>
      </w:r>
      <w:proofErr w:type="gramStart"/>
      <w:r w:rsidRPr="00FF4584">
        <w:rPr>
          <w:rFonts w:ascii="Times New Roman" w:eastAsia="Calibri" w:hAnsi="Times New Roman" w:cs="Times New Roman"/>
          <w:sz w:val="24"/>
          <w:szCs w:val="24"/>
        </w:rPr>
        <w:t>profili</w:t>
      </w:r>
      <w:proofErr w:type="gramEnd"/>
      <w:r w:rsidRPr="00FF4584">
        <w:rPr>
          <w:rFonts w:ascii="Times New Roman" w:eastAsia="Calibri" w:hAnsi="Times New Roman" w:cs="Times New Roman"/>
          <w:sz w:val="24"/>
          <w:szCs w:val="24"/>
        </w:rPr>
        <w:t xml:space="preserve"> üzerindeki olası etkisi tartışılmalıdır. Seçilen zaman noktalarında ve depolama koşullarında (</w:t>
      </w:r>
      <w:proofErr w:type="spellStart"/>
      <w:r w:rsidRPr="00FF4584">
        <w:rPr>
          <w:rFonts w:ascii="Times New Roman" w:eastAsia="Calibri" w:hAnsi="Times New Roman" w:cs="Times New Roman"/>
          <w:sz w:val="24"/>
          <w:szCs w:val="24"/>
        </w:rPr>
        <w:t>örn</w:t>
      </w:r>
      <w:proofErr w:type="spellEnd"/>
      <w:proofErr w:type="gramStart"/>
      <w:r w:rsidRPr="00FF4584">
        <w:rPr>
          <w:rFonts w:ascii="Times New Roman" w:eastAsia="Calibri" w:hAnsi="Times New Roman" w:cs="Times New Roman"/>
          <w:sz w:val="24"/>
          <w:szCs w:val="24"/>
        </w:rPr>
        <w:t>.,</w:t>
      </w:r>
      <w:proofErr w:type="gramEnd"/>
      <w:r w:rsidRPr="00FF4584">
        <w:rPr>
          <w:rFonts w:ascii="Times New Roman" w:eastAsia="Calibri" w:hAnsi="Times New Roman" w:cs="Times New Roman"/>
          <w:sz w:val="24"/>
          <w:szCs w:val="24"/>
        </w:rPr>
        <w:t xml:space="preserve"> hızlandırılmış koşullar veya stres koşulları) test edilen ilgili kalite özelliklerinin karşılaştırılması, referans tıbbi ürünün ve </w:t>
      </w:r>
      <w:proofErr w:type="spellStart"/>
      <w:r w:rsidRPr="00FF4584">
        <w:rPr>
          <w:rFonts w:ascii="Times New Roman" w:eastAsia="Calibri" w:hAnsi="Times New Roman" w:cs="Times New Roman"/>
          <w:sz w:val="24"/>
          <w:szCs w:val="24"/>
        </w:rPr>
        <w:t>biyobenzer</w:t>
      </w:r>
      <w:proofErr w:type="spellEnd"/>
      <w:r w:rsidR="00BE40A4" w:rsidRPr="00FF4584">
        <w:rPr>
          <w:rFonts w:ascii="Times New Roman" w:eastAsia="Calibri" w:hAnsi="Times New Roman" w:cs="Times New Roman"/>
          <w:sz w:val="24"/>
          <w:szCs w:val="24"/>
        </w:rPr>
        <w:t xml:space="preserve"> tıbbi ürünün </w:t>
      </w:r>
      <w:proofErr w:type="spellStart"/>
      <w:r w:rsidRPr="00FF4584">
        <w:rPr>
          <w:rFonts w:ascii="Times New Roman" w:eastAsia="Calibri" w:hAnsi="Times New Roman" w:cs="Times New Roman"/>
          <w:sz w:val="24"/>
          <w:szCs w:val="24"/>
        </w:rPr>
        <w:t>bozunma</w:t>
      </w:r>
      <w:proofErr w:type="spellEnd"/>
      <w:r w:rsidRPr="00FF4584">
        <w:rPr>
          <w:rFonts w:ascii="Times New Roman" w:eastAsia="Calibri" w:hAnsi="Times New Roman" w:cs="Times New Roman"/>
          <w:sz w:val="24"/>
          <w:szCs w:val="24"/>
        </w:rPr>
        <w:t xml:space="preserve"> yollarının benzerliğini desteklemek için kullanılabilir.</w:t>
      </w:r>
      <w:r w:rsidR="003F1DAD" w:rsidRPr="00FF4584">
        <w:rPr>
          <w:rFonts w:ascii="Times New Roman" w:eastAsia="Calibri" w:hAnsi="Times New Roman" w:cs="Times New Roman"/>
          <w:sz w:val="24"/>
          <w:szCs w:val="24"/>
        </w:rPr>
        <w:t xml:space="preserve"> </w:t>
      </w:r>
    </w:p>
    <w:p w14:paraId="35310639" w14:textId="77777777" w:rsidR="00D84518" w:rsidRDefault="00D84518" w:rsidP="00936293">
      <w:pPr>
        <w:pStyle w:val="ListeParagraf"/>
        <w:numPr>
          <w:ilvl w:val="0"/>
          <w:numId w:val="23"/>
        </w:numPr>
        <w:spacing w:after="0" w:line="276" w:lineRule="auto"/>
        <w:jc w:val="both"/>
        <w:rPr>
          <w:rFonts w:ascii="Times New Roman" w:eastAsia="Calibri" w:hAnsi="Times New Roman" w:cs="Times New Roman"/>
          <w:sz w:val="24"/>
          <w:szCs w:val="24"/>
        </w:rPr>
      </w:pPr>
      <w:r w:rsidRPr="00D84518">
        <w:rPr>
          <w:rFonts w:ascii="Times New Roman" w:eastAsia="Calibri" w:hAnsi="Times New Roman" w:cs="Times New Roman"/>
          <w:sz w:val="24"/>
          <w:szCs w:val="24"/>
        </w:rPr>
        <w:t xml:space="preserve">İşlemlerle ilgili </w:t>
      </w:r>
      <w:proofErr w:type="spellStart"/>
      <w:r w:rsidRPr="00D84518">
        <w:rPr>
          <w:rFonts w:ascii="Times New Roman" w:eastAsia="Calibri" w:hAnsi="Times New Roman" w:cs="Times New Roman"/>
          <w:sz w:val="24"/>
          <w:szCs w:val="24"/>
        </w:rPr>
        <w:t>safsızlıklar</w:t>
      </w:r>
      <w:proofErr w:type="spellEnd"/>
      <w:r w:rsidR="002C3099" w:rsidRPr="00D84518">
        <w:rPr>
          <w:rFonts w:ascii="Times New Roman" w:eastAsia="Calibri" w:hAnsi="Times New Roman" w:cs="Times New Roman"/>
          <w:sz w:val="24"/>
          <w:szCs w:val="24"/>
        </w:rPr>
        <w:t xml:space="preserve"> (</w:t>
      </w:r>
      <w:proofErr w:type="spellStart"/>
      <w:r w:rsidR="002C3099" w:rsidRPr="00D84518">
        <w:rPr>
          <w:rFonts w:ascii="Times New Roman" w:eastAsia="Calibri" w:hAnsi="Times New Roman" w:cs="Times New Roman"/>
          <w:sz w:val="24"/>
          <w:szCs w:val="24"/>
        </w:rPr>
        <w:t>örn</w:t>
      </w:r>
      <w:proofErr w:type="spellEnd"/>
      <w:proofErr w:type="gramStart"/>
      <w:r w:rsidR="002C3099" w:rsidRPr="00D84518">
        <w:rPr>
          <w:rFonts w:ascii="Times New Roman" w:eastAsia="Calibri" w:hAnsi="Times New Roman" w:cs="Times New Roman"/>
          <w:sz w:val="24"/>
          <w:szCs w:val="24"/>
        </w:rPr>
        <w:t>.,</w:t>
      </w:r>
      <w:proofErr w:type="gramEnd"/>
      <w:r w:rsidR="002C3099" w:rsidRPr="00D84518">
        <w:rPr>
          <w:rFonts w:ascii="Times New Roman" w:eastAsia="Calibri" w:hAnsi="Times New Roman" w:cs="Times New Roman"/>
          <w:sz w:val="24"/>
          <w:szCs w:val="24"/>
        </w:rPr>
        <w:t xml:space="preserve"> konak hücre proteinleri, konak hücre DNA’sı, reaktifler, saflaştırma ile ilgili </w:t>
      </w:r>
      <w:proofErr w:type="spellStart"/>
      <w:r w:rsidR="002C3099" w:rsidRPr="00D84518">
        <w:rPr>
          <w:rFonts w:ascii="Times New Roman" w:eastAsia="Calibri" w:hAnsi="Times New Roman" w:cs="Times New Roman"/>
          <w:sz w:val="24"/>
          <w:szCs w:val="24"/>
        </w:rPr>
        <w:t>safsızlıklar</w:t>
      </w:r>
      <w:proofErr w:type="spellEnd"/>
      <w:r w:rsidR="002C3099" w:rsidRPr="00D84518">
        <w:rPr>
          <w:rFonts w:ascii="Times New Roman" w:eastAsia="Calibri" w:hAnsi="Times New Roman" w:cs="Times New Roman"/>
          <w:sz w:val="24"/>
          <w:szCs w:val="24"/>
        </w:rPr>
        <w:t xml:space="preserve"> vb.) nitelik olarak işlemden işle</w:t>
      </w:r>
      <w:r w:rsidR="00ED50D7" w:rsidRPr="00D84518">
        <w:rPr>
          <w:rFonts w:ascii="Times New Roman" w:eastAsia="Calibri" w:hAnsi="Times New Roman" w:cs="Times New Roman"/>
          <w:sz w:val="24"/>
          <w:szCs w:val="24"/>
        </w:rPr>
        <w:t>me farklılık gösterebilir</w:t>
      </w:r>
      <w:r w:rsidR="002C3099" w:rsidRPr="00D84518">
        <w:rPr>
          <w:rFonts w:ascii="Times New Roman" w:eastAsia="Calibri" w:hAnsi="Times New Roman" w:cs="Times New Roman"/>
          <w:sz w:val="24"/>
          <w:szCs w:val="24"/>
        </w:rPr>
        <w:t>.</w:t>
      </w:r>
      <w:r w:rsidR="003F1DAD" w:rsidRPr="00D84518">
        <w:rPr>
          <w:rFonts w:ascii="Times New Roman" w:eastAsia="Calibri" w:hAnsi="Times New Roman" w:cs="Times New Roman"/>
          <w:sz w:val="24"/>
          <w:szCs w:val="24"/>
        </w:rPr>
        <w:t xml:space="preserve"> </w:t>
      </w:r>
      <w:r w:rsidR="002C3099" w:rsidRPr="00D84518">
        <w:rPr>
          <w:rFonts w:ascii="Times New Roman" w:eastAsia="Calibri" w:hAnsi="Times New Roman" w:cs="Times New Roman"/>
          <w:sz w:val="24"/>
          <w:szCs w:val="24"/>
        </w:rPr>
        <w:t xml:space="preserve">Bu nedenle, </w:t>
      </w:r>
      <w:proofErr w:type="spellStart"/>
      <w:r w:rsidR="002C3099" w:rsidRPr="00D84518">
        <w:rPr>
          <w:rFonts w:ascii="Times New Roman" w:eastAsia="Calibri" w:hAnsi="Times New Roman" w:cs="Times New Roman"/>
          <w:sz w:val="24"/>
          <w:szCs w:val="24"/>
        </w:rPr>
        <w:t>biyobenzer</w:t>
      </w:r>
      <w:proofErr w:type="spellEnd"/>
      <w:r w:rsidR="002C3099" w:rsidRPr="00D84518">
        <w:rPr>
          <w:rFonts w:ascii="Times New Roman" w:eastAsia="Calibri" w:hAnsi="Times New Roman" w:cs="Times New Roman"/>
          <w:sz w:val="24"/>
          <w:szCs w:val="24"/>
        </w:rPr>
        <w:t xml:space="preserve"> </w:t>
      </w:r>
      <w:proofErr w:type="spellStart"/>
      <w:r w:rsidR="002C3099" w:rsidRPr="00D84518">
        <w:rPr>
          <w:rFonts w:ascii="Times New Roman" w:eastAsia="Calibri" w:hAnsi="Times New Roman" w:cs="Times New Roman"/>
          <w:sz w:val="24"/>
          <w:szCs w:val="24"/>
        </w:rPr>
        <w:t>karşılaştırılabilirlik</w:t>
      </w:r>
      <w:proofErr w:type="spellEnd"/>
      <w:r w:rsidR="002C3099" w:rsidRPr="00D84518">
        <w:rPr>
          <w:rFonts w:ascii="Times New Roman" w:eastAsia="Calibri" w:hAnsi="Times New Roman" w:cs="Times New Roman"/>
          <w:sz w:val="24"/>
          <w:szCs w:val="24"/>
        </w:rPr>
        <w:t xml:space="preserve"> çalışması bu parametrelerin niteliksel karşılaştırması ile tam olarak ilişkili olmayabilir. Ancak, mevcut kılavuzla</w:t>
      </w:r>
      <w:r w:rsidR="002C576B" w:rsidRPr="00D84518">
        <w:rPr>
          <w:rFonts w:ascii="Times New Roman" w:eastAsia="Calibri" w:hAnsi="Times New Roman" w:cs="Times New Roman"/>
          <w:sz w:val="24"/>
          <w:szCs w:val="24"/>
        </w:rPr>
        <w:t xml:space="preserve">r ve </w:t>
      </w:r>
      <w:proofErr w:type="spellStart"/>
      <w:r w:rsidR="002C576B" w:rsidRPr="00D84518">
        <w:rPr>
          <w:rFonts w:ascii="Times New Roman" w:eastAsia="Calibri" w:hAnsi="Times New Roman" w:cs="Times New Roman"/>
          <w:sz w:val="24"/>
          <w:szCs w:val="24"/>
        </w:rPr>
        <w:t>farmakopelerdeki</w:t>
      </w:r>
      <w:proofErr w:type="spellEnd"/>
      <w:r w:rsidR="002C576B" w:rsidRPr="00D84518">
        <w:rPr>
          <w:rFonts w:ascii="Times New Roman" w:eastAsia="Calibri" w:hAnsi="Times New Roman" w:cs="Times New Roman"/>
          <w:sz w:val="24"/>
          <w:szCs w:val="24"/>
        </w:rPr>
        <w:t xml:space="preserve"> gelişmiş analitik yöntemler uygulanarak, bu</w:t>
      </w:r>
      <w:r w:rsidR="002C3099" w:rsidRPr="00D84518">
        <w:rPr>
          <w:rFonts w:ascii="Times New Roman" w:eastAsia="Calibri" w:hAnsi="Times New Roman" w:cs="Times New Roman"/>
          <w:sz w:val="24"/>
          <w:szCs w:val="24"/>
        </w:rPr>
        <w:t xml:space="preserve"> </w:t>
      </w:r>
      <w:proofErr w:type="spellStart"/>
      <w:r w:rsidR="002C3099" w:rsidRPr="00D84518">
        <w:rPr>
          <w:rFonts w:ascii="Times New Roman" w:eastAsia="Calibri" w:hAnsi="Times New Roman" w:cs="Times New Roman"/>
          <w:sz w:val="24"/>
          <w:szCs w:val="24"/>
        </w:rPr>
        <w:t>safsızlıklar</w:t>
      </w:r>
      <w:proofErr w:type="spellEnd"/>
      <w:r w:rsidRPr="00D84518">
        <w:rPr>
          <w:rFonts w:ascii="Times New Roman" w:eastAsia="Calibri" w:hAnsi="Times New Roman" w:cs="Times New Roman"/>
          <w:sz w:val="24"/>
          <w:szCs w:val="24"/>
        </w:rPr>
        <w:t xml:space="preserve"> ile ilgili potansiyel riskler</w:t>
      </w:r>
      <w:r w:rsidR="002C3099" w:rsidRPr="00D84518">
        <w:rPr>
          <w:rFonts w:ascii="Times New Roman" w:eastAsia="Calibri" w:hAnsi="Times New Roman" w:cs="Times New Roman"/>
          <w:sz w:val="24"/>
          <w:szCs w:val="24"/>
        </w:rPr>
        <w:t xml:space="preserve"> (</w:t>
      </w:r>
      <w:proofErr w:type="spellStart"/>
      <w:r w:rsidR="002C3099" w:rsidRPr="00D84518">
        <w:rPr>
          <w:rFonts w:ascii="Times New Roman" w:eastAsia="Calibri" w:hAnsi="Times New Roman" w:cs="Times New Roman"/>
          <w:sz w:val="24"/>
          <w:szCs w:val="24"/>
        </w:rPr>
        <w:t>örn</w:t>
      </w:r>
      <w:proofErr w:type="spellEnd"/>
      <w:proofErr w:type="gramStart"/>
      <w:r w:rsidR="002C3099" w:rsidRPr="00D84518">
        <w:rPr>
          <w:rFonts w:ascii="Times New Roman" w:eastAsia="Calibri" w:hAnsi="Times New Roman" w:cs="Times New Roman"/>
          <w:sz w:val="24"/>
          <w:szCs w:val="24"/>
        </w:rPr>
        <w:t>.</w:t>
      </w:r>
      <w:r w:rsidR="001D577E" w:rsidRPr="00D84518">
        <w:rPr>
          <w:rFonts w:ascii="Times New Roman" w:eastAsia="Calibri" w:hAnsi="Times New Roman" w:cs="Times New Roman"/>
          <w:sz w:val="24"/>
          <w:szCs w:val="24"/>
        </w:rPr>
        <w:t>,</w:t>
      </w:r>
      <w:proofErr w:type="gramEnd"/>
      <w:r w:rsidR="001D577E" w:rsidRPr="00D84518">
        <w:rPr>
          <w:rFonts w:ascii="Times New Roman" w:eastAsia="Calibri" w:hAnsi="Times New Roman" w:cs="Times New Roman"/>
          <w:sz w:val="24"/>
          <w:szCs w:val="24"/>
        </w:rPr>
        <w:t xml:space="preserve"> </w:t>
      </w:r>
      <w:proofErr w:type="spellStart"/>
      <w:r w:rsidR="001D577E" w:rsidRPr="00D84518">
        <w:rPr>
          <w:rFonts w:ascii="Times New Roman" w:eastAsia="Calibri" w:hAnsi="Times New Roman" w:cs="Times New Roman"/>
          <w:sz w:val="24"/>
          <w:szCs w:val="24"/>
        </w:rPr>
        <w:t>immünojenisite</w:t>
      </w:r>
      <w:proofErr w:type="spellEnd"/>
      <w:r w:rsidR="001D577E" w:rsidRPr="00D84518">
        <w:rPr>
          <w:rFonts w:ascii="Times New Roman" w:eastAsia="Calibri" w:hAnsi="Times New Roman" w:cs="Times New Roman"/>
          <w:sz w:val="24"/>
          <w:szCs w:val="24"/>
        </w:rPr>
        <w:t xml:space="preserve">) </w:t>
      </w:r>
      <w:r w:rsidRPr="00D84518">
        <w:rPr>
          <w:rFonts w:ascii="Times New Roman" w:eastAsia="Calibri" w:hAnsi="Times New Roman" w:cs="Times New Roman"/>
          <w:sz w:val="24"/>
          <w:szCs w:val="24"/>
        </w:rPr>
        <w:t>ortaya konulmalı ve gerekçelendirilmelidir.</w:t>
      </w:r>
      <w:r>
        <w:rPr>
          <w:rFonts w:ascii="Times New Roman" w:eastAsia="Calibri" w:hAnsi="Times New Roman" w:cs="Times New Roman"/>
          <w:sz w:val="24"/>
          <w:szCs w:val="24"/>
        </w:rPr>
        <w:t xml:space="preserve"> </w:t>
      </w:r>
    </w:p>
    <w:p w14:paraId="34C88476" w14:textId="77777777" w:rsidR="00D84518" w:rsidRDefault="00D84518" w:rsidP="00D84518">
      <w:pPr>
        <w:pStyle w:val="ListeParagraf"/>
        <w:spacing w:after="0" w:line="276" w:lineRule="auto"/>
        <w:ind w:left="426"/>
        <w:jc w:val="both"/>
        <w:rPr>
          <w:rFonts w:ascii="Times New Roman" w:eastAsia="Calibri" w:hAnsi="Times New Roman" w:cs="Times New Roman"/>
          <w:sz w:val="24"/>
          <w:szCs w:val="24"/>
        </w:rPr>
      </w:pPr>
    </w:p>
    <w:p w14:paraId="0B8E6ED9" w14:textId="77777777" w:rsidR="00936293" w:rsidRPr="00936293" w:rsidRDefault="00936293" w:rsidP="00936293">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d) </w:t>
      </w:r>
      <w:proofErr w:type="gramStart"/>
      <w:r w:rsidR="00962D2A" w:rsidRPr="00936293">
        <w:rPr>
          <w:rFonts w:ascii="Times New Roman" w:eastAsia="Calibri" w:hAnsi="Times New Roman" w:cs="Times New Roman"/>
          <w:b/>
          <w:sz w:val="24"/>
          <w:szCs w:val="24"/>
        </w:rPr>
        <w:t>Nicelik</w:t>
      </w:r>
      <w:r w:rsidR="00962D2A" w:rsidRPr="00936293" w:rsidDel="00924A2C">
        <w:rPr>
          <w:rFonts w:ascii="Times New Roman" w:eastAsia="Calibri" w:hAnsi="Times New Roman" w:cs="Times New Roman"/>
          <w:sz w:val="24"/>
          <w:szCs w:val="24"/>
        </w:rPr>
        <w:t xml:space="preserve"> </w:t>
      </w:r>
      <w:r w:rsidR="00EA045B" w:rsidRPr="00936293">
        <w:rPr>
          <w:rFonts w:ascii="Times New Roman" w:eastAsia="Calibri" w:hAnsi="Times New Roman" w:cs="Times New Roman"/>
          <w:sz w:val="24"/>
          <w:szCs w:val="24"/>
        </w:rPr>
        <w:t>:</w:t>
      </w:r>
      <w:proofErr w:type="gramEnd"/>
      <w:r w:rsidR="00350FEB" w:rsidRPr="00936293">
        <w:rPr>
          <w:rFonts w:ascii="Times New Roman" w:eastAsia="Calibri" w:hAnsi="Times New Roman" w:cs="Times New Roman"/>
          <w:sz w:val="24"/>
          <w:szCs w:val="24"/>
        </w:rPr>
        <w:t xml:space="preserve">  </w:t>
      </w:r>
    </w:p>
    <w:p w14:paraId="723F3559" w14:textId="77777777" w:rsidR="00113835" w:rsidRPr="00936293" w:rsidRDefault="00E724DB" w:rsidP="00936293">
      <w:pPr>
        <w:pStyle w:val="ListeParagraf"/>
        <w:spacing w:after="0" w:line="276" w:lineRule="auto"/>
        <w:ind w:left="360"/>
        <w:jc w:val="both"/>
        <w:rPr>
          <w:rFonts w:ascii="Times New Roman" w:eastAsia="Calibri" w:hAnsi="Times New Roman" w:cs="Times New Roman"/>
          <w:sz w:val="24"/>
          <w:szCs w:val="24"/>
        </w:rPr>
      </w:pPr>
      <w:proofErr w:type="spellStart"/>
      <w:r w:rsidRPr="00936293">
        <w:rPr>
          <w:rFonts w:ascii="Times New Roman" w:eastAsia="Calibri" w:hAnsi="Times New Roman" w:cs="Times New Roman"/>
          <w:sz w:val="24"/>
          <w:szCs w:val="24"/>
        </w:rPr>
        <w:t>Biyobenzer</w:t>
      </w:r>
      <w:proofErr w:type="spellEnd"/>
      <w:r w:rsidRPr="00936293">
        <w:rPr>
          <w:rFonts w:ascii="Times New Roman" w:eastAsia="Calibri" w:hAnsi="Times New Roman" w:cs="Times New Roman"/>
          <w:sz w:val="24"/>
          <w:szCs w:val="24"/>
        </w:rPr>
        <w:t xml:space="preserve"> tıbbi ürünün n</w:t>
      </w:r>
      <w:r w:rsidR="00962D2A" w:rsidRPr="00936293">
        <w:rPr>
          <w:rFonts w:ascii="Times New Roman" w:eastAsia="Calibri" w:hAnsi="Times New Roman" w:cs="Times New Roman"/>
          <w:sz w:val="24"/>
          <w:szCs w:val="24"/>
        </w:rPr>
        <w:t>i</w:t>
      </w:r>
      <w:r w:rsidRPr="00936293">
        <w:rPr>
          <w:rFonts w:ascii="Times New Roman" w:eastAsia="Calibri" w:hAnsi="Times New Roman" w:cs="Times New Roman"/>
          <w:sz w:val="24"/>
          <w:szCs w:val="24"/>
        </w:rPr>
        <w:t>celikleri</w:t>
      </w:r>
      <w:r w:rsidR="00962D2A" w:rsidRPr="00936293">
        <w:rPr>
          <w:rFonts w:ascii="Times New Roman" w:eastAsia="Calibri" w:hAnsi="Times New Roman" w:cs="Times New Roman"/>
          <w:sz w:val="24"/>
          <w:szCs w:val="24"/>
        </w:rPr>
        <w:t>, uygun bir tayin yöntemi kullanılarak saptanmalı ve referans tıbbi ürün ile aynı birimler kullan</w:t>
      </w:r>
      <w:r w:rsidR="00D84518" w:rsidRPr="00936293">
        <w:rPr>
          <w:rFonts w:ascii="Times New Roman" w:eastAsia="Calibri" w:hAnsi="Times New Roman" w:cs="Times New Roman"/>
          <w:sz w:val="24"/>
          <w:szCs w:val="24"/>
        </w:rPr>
        <w:t>ıl</w:t>
      </w:r>
      <w:r w:rsidR="00962D2A" w:rsidRPr="00936293">
        <w:rPr>
          <w:rFonts w:ascii="Times New Roman" w:eastAsia="Calibri" w:hAnsi="Times New Roman" w:cs="Times New Roman"/>
          <w:sz w:val="24"/>
          <w:szCs w:val="24"/>
        </w:rPr>
        <w:t xml:space="preserve">arak ifade edilmelidir. </w:t>
      </w:r>
      <w:proofErr w:type="spellStart"/>
      <w:r w:rsidR="00962D2A" w:rsidRPr="00936293">
        <w:rPr>
          <w:rFonts w:ascii="Times New Roman" w:eastAsia="Calibri" w:hAnsi="Times New Roman" w:cs="Times New Roman"/>
          <w:sz w:val="24"/>
          <w:szCs w:val="24"/>
        </w:rPr>
        <w:t>Yitiliklerin</w:t>
      </w:r>
      <w:proofErr w:type="spellEnd"/>
      <w:r w:rsidR="00962D2A" w:rsidRPr="00936293">
        <w:rPr>
          <w:rFonts w:ascii="Times New Roman" w:eastAsia="Calibri" w:hAnsi="Times New Roman" w:cs="Times New Roman"/>
          <w:sz w:val="24"/>
          <w:szCs w:val="24"/>
        </w:rPr>
        <w:t xml:space="preserve"> </w:t>
      </w:r>
      <w:proofErr w:type="spellStart"/>
      <w:r w:rsidR="00962D2A" w:rsidRPr="00936293">
        <w:rPr>
          <w:rFonts w:ascii="Times New Roman" w:eastAsia="Calibri" w:hAnsi="Times New Roman" w:cs="Times New Roman"/>
          <w:sz w:val="24"/>
          <w:szCs w:val="24"/>
        </w:rPr>
        <w:t>karşılaştırılabilirliği</w:t>
      </w:r>
      <w:proofErr w:type="spellEnd"/>
      <w:r w:rsidR="00962D2A" w:rsidRPr="00936293">
        <w:rPr>
          <w:rFonts w:ascii="Times New Roman" w:eastAsia="Calibri" w:hAnsi="Times New Roman" w:cs="Times New Roman"/>
          <w:sz w:val="24"/>
          <w:szCs w:val="24"/>
        </w:rPr>
        <w:t xml:space="preserve"> </w:t>
      </w:r>
      <w:proofErr w:type="spellStart"/>
      <w:r w:rsidR="00962D2A" w:rsidRPr="00936293">
        <w:rPr>
          <w:rFonts w:ascii="Times New Roman" w:eastAsia="Calibri" w:hAnsi="Times New Roman" w:cs="Times New Roman"/>
          <w:sz w:val="24"/>
          <w:szCs w:val="24"/>
        </w:rPr>
        <w:t>biyobenzer</w:t>
      </w:r>
      <w:proofErr w:type="spellEnd"/>
      <w:r w:rsidR="00BE40A4" w:rsidRPr="00936293">
        <w:rPr>
          <w:rFonts w:ascii="Times New Roman" w:eastAsia="Calibri" w:hAnsi="Times New Roman" w:cs="Times New Roman"/>
          <w:sz w:val="24"/>
          <w:szCs w:val="24"/>
        </w:rPr>
        <w:t xml:space="preserve"> tıbbi ürün</w:t>
      </w:r>
      <w:r w:rsidR="00962D2A" w:rsidRPr="00936293">
        <w:rPr>
          <w:rFonts w:ascii="Times New Roman" w:eastAsia="Calibri" w:hAnsi="Times New Roman" w:cs="Times New Roman"/>
          <w:sz w:val="24"/>
          <w:szCs w:val="24"/>
        </w:rPr>
        <w:t xml:space="preserve"> ve referans tıbbi ürün için doğrulanmalıdır.</w:t>
      </w:r>
      <w:r w:rsidR="00B1790B" w:rsidRPr="00936293">
        <w:rPr>
          <w:rFonts w:ascii="Times New Roman" w:eastAsia="Calibri" w:hAnsi="Times New Roman" w:cs="Times New Roman"/>
          <w:sz w:val="24"/>
          <w:szCs w:val="24"/>
        </w:rPr>
        <w:t xml:space="preserve"> </w:t>
      </w:r>
    </w:p>
    <w:p w14:paraId="7DEE9236" w14:textId="77777777" w:rsidR="00DC471C" w:rsidRPr="00FF4584" w:rsidRDefault="00DC471C" w:rsidP="00327D21">
      <w:pPr>
        <w:spacing w:after="0" w:line="276" w:lineRule="auto"/>
        <w:jc w:val="both"/>
        <w:rPr>
          <w:rFonts w:ascii="Times New Roman" w:eastAsia="Calibri" w:hAnsi="Times New Roman" w:cs="Times New Roman"/>
          <w:sz w:val="24"/>
          <w:szCs w:val="24"/>
        </w:rPr>
      </w:pPr>
    </w:p>
    <w:p w14:paraId="446C1DA0" w14:textId="77777777" w:rsidR="00DC471C" w:rsidRPr="00FF4584" w:rsidRDefault="00DC471C" w:rsidP="00327D21">
      <w:pPr>
        <w:spacing w:after="0" w:line="276" w:lineRule="auto"/>
        <w:jc w:val="both"/>
        <w:rPr>
          <w:rFonts w:ascii="Times New Roman" w:eastAsia="Calibri" w:hAnsi="Times New Roman" w:cs="Times New Roman"/>
          <w:b/>
          <w:sz w:val="24"/>
          <w:szCs w:val="24"/>
        </w:rPr>
      </w:pPr>
      <w:proofErr w:type="spellStart"/>
      <w:r w:rsidRPr="00FF4584">
        <w:rPr>
          <w:rFonts w:ascii="Times New Roman" w:eastAsia="Calibri" w:hAnsi="Times New Roman" w:cs="Times New Roman"/>
          <w:b/>
          <w:sz w:val="24"/>
          <w:szCs w:val="24"/>
        </w:rPr>
        <w:t>Spesifikasyonlar</w:t>
      </w:r>
      <w:proofErr w:type="spellEnd"/>
    </w:p>
    <w:p w14:paraId="02B94E48" w14:textId="77777777" w:rsidR="00DC471C" w:rsidRPr="00FF4584" w:rsidRDefault="00DC471C" w:rsidP="00327D21">
      <w:pPr>
        <w:spacing w:after="0" w:line="276" w:lineRule="auto"/>
        <w:jc w:val="both"/>
        <w:rPr>
          <w:rFonts w:ascii="Times New Roman" w:eastAsia="Calibri" w:hAnsi="Times New Roman" w:cs="Times New Roman"/>
          <w:b/>
          <w:sz w:val="24"/>
          <w:szCs w:val="24"/>
        </w:rPr>
      </w:pPr>
    </w:p>
    <w:p w14:paraId="19FCDAC1" w14:textId="77777777" w:rsidR="009A1E4D" w:rsidRPr="00FF4584" w:rsidRDefault="00DC471C" w:rsidP="009A1E4D">
      <w:pPr>
        <w:jc w:val="both"/>
        <w:rPr>
          <w:rFonts w:ascii="Times New Roman" w:eastAsia="Calibri" w:hAnsi="Times New Roman" w:cs="Times New Roman"/>
          <w:sz w:val="24"/>
          <w:szCs w:val="24"/>
        </w:rPr>
      </w:pPr>
      <w:r w:rsidRPr="00FF4584">
        <w:rPr>
          <w:rFonts w:ascii="Times New Roman" w:eastAsia="Calibri" w:hAnsi="Times New Roman" w:cs="Times New Roman"/>
          <w:b/>
          <w:sz w:val="24"/>
          <w:szCs w:val="24"/>
        </w:rPr>
        <w:t>MADDE 1</w:t>
      </w:r>
      <w:r w:rsidR="007732E0" w:rsidRPr="00FF4584">
        <w:rPr>
          <w:rFonts w:ascii="Times New Roman" w:eastAsia="Calibri" w:hAnsi="Times New Roman" w:cs="Times New Roman"/>
          <w:b/>
          <w:sz w:val="24"/>
          <w:szCs w:val="24"/>
        </w:rPr>
        <w:t xml:space="preserve">3 </w:t>
      </w:r>
      <w:r w:rsidRPr="00FF4584">
        <w:rPr>
          <w:rFonts w:ascii="Times New Roman" w:eastAsia="Calibri" w:hAnsi="Times New Roman" w:cs="Times New Roman"/>
          <w:b/>
          <w:sz w:val="24"/>
          <w:szCs w:val="24"/>
        </w:rPr>
        <w:t xml:space="preserve">- </w:t>
      </w:r>
      <w:r w:rsidR="009A1E4D" w:rsidRPr="00FF4584">
        <w:rPr>
          <w:rFonts w:ascii="Times New Roman" w:eastAsia="Calibri" w:hAnsi="Times New Roman" w:cs="Times New Roman"/>
          <w:sz w:val="24"/>
          <w:szCs w:val="24"/>
        </w:rPr>
        <w:t>(1)</w:t>
      </w:r>
      <w:r w:rsidR="007732E0" w:rsidRPr="00FF4584">
        <w:rPr>
          <w:rFonts w:ascii="Times New Roman" w:eastAsia="Calibri" w:hAnsi="Times New Roman" w:cs="Times New Roman"/>
          <w:sz w:val="24"/>
          <w:szCs w:val="24"/>
        </w:rPr>
        <w:t xml:space="preserve"> </w:t>
      </w:r>
      <w:r w:rsidR="009A1E4D" w:rsidRPr="00FF4584">
        <w:rPr>
          <w:rFonts w:ascii="Times New Roman" w:eastAsia="Calibri" w:hAnsi="Times New Roman" w:cs="Times New Roman"/>
          <w:sz w:val="24"/>
          <w:szCs w:val="24"/>
        </w:rPr>
        <w:t xml:space="preserve">Herhangi bir </w:t>
      </w:r>
      <w:proofErr w:type="spellStart"/>
      <w:r w:rsidR="009A1E4D" w:rsidRPr="00FF4584">
        <w:rPr>
          <w:rFonts w:ascii="Times New Roman" w:eastAsia="Calibri" w:hAnsi="Times New Roman" w:cs="Times New Roman"/>
          <w:sz w:val="24"/>
          <w:szCs w:val="24"/>
        </w:rPr>
        <w:t>biyoteknoloji</w:t>
      </w:r>
      <w:proofErr w:type="spellEnd"/>
      <w:r w:rsidR="009A1E4D" w:rsidRPr="00FF4584">
        <w:rPr>
          <w:rFonts w:ascii="Times New Roman" w:eastAsia="Calibri" w:hAnsi="Times New Roman" w:cs="Times New Roman"/>
          <w:sz w:val="24"/>
          <w:szCs w:val="24"/>
        </w:rPr>
        <w:t xml:space="preserve"> kökenli ürün ile ilgili olarak, etkin madde ve bitmiş ürün için </w:t>
      </w:r>
      <w:proofErr w:type="spellStart"/>
      <w:r w:rsidR="009A1E4D" w:rsidRPr="00FF4584">
        <w:rPr>
          <w:rFonts w:ascii="Times New Roman" w:eastAsia="Calibri" w:hAnsi="Times New Roman" w:cs="Times New Roman"/>
          <w:sz w:val="24"/>
          <w:szCs w:val="24"/>
        </w:rPr>
        <w:t>spesifikasyonlara</w:t>
      </w:r>
      <w:proofErr w:type="spellEnd"/>
      <w:r w:rsidR="009A1E4D" w:rsidRPr="00FF4584">
        <w:rPr>
          <w:rFonts w:ascii="Times New Roman" w:eastAsia="Calibri" w:hAnsi="Times New Roman" w:cs="Times New Roman"/>
          <w:sz w:val="24"/>
          <w:szCs w:val="24"/>
        </w:rPr>
        <w:t xml:space="preserve">/ kontrol stratejisine dâhil edilecek testlerin seçilmesi, ürüne özgüdür ve kılavuz/ </w:t>
      </w:r>
      <w:proofErr w:type="spellStart"/>
      <w:r w:rsidR="009A1E4D" w:rsidRPr="00FF4584">
        <w:rPr>
          <w:rFonts w:ascii="Times New Roman" w:eastAsia="Calibri" w:hAnsi="Times New Roman" w:cs="Times New Roman"/>
          <w:sz w:val="24"/>
          <w:szCs w:val="24"/>
        </w:rPr>
        <w:t>farmakopede</w:t>
      </w:r>
      <w:proofErr w:type="spellEnd"/>
      <w:r w:rsidR="009A1E4D" w:rsidRPr="00FF4584">
        <w:rPr>
          <w:rFonts w:ascii="Times New Roman" w:eastAsia="Calibri" w:hAnsi="Times New Roman" w:cs="Times New Roman"/>
          <w:sz w:val="24"/>
          <w:szCs w:val="24"/>
        </w:rPr>
        <w:t xml:space="preserve"> belirtilen şekilde tanımlanmalıdır. </w:t>
      </w:r>
    </w:p>
    <w:p w14:paraId="1460D33E" w14:textId="77777777" w:rsidR="009A1E4D" w:rsidRPr="00FF4584" w:rsidRDefault="009A1E4D" w:rsidP="009A1E4D">
      <w:pPr>
        <w:spacing w:after="0" w:line="240" w:lineRule="auto"/>
        <w:jc w:val="both"/>
        <w:rPr>
          <w:rFonts w:ascii="Times New Roman" w:eastAsia="Calibri" w:hAnsi="Times New Roman" w:cs="Times New Roman"/>
          <w:sz w:val="24"/>
          <w:szCs w:val="24"/>
        </w:rPr>
      </w:pPr>
    </w:p>
    <w:p w14:paraId="6194B3AF" w14:textId="77777777" w:rsidR="009A1E4D" w:rsidRPr="00FF4584" w:rsidRDefault="009A1E4D" w:rsidP="009A1E4D">
      <w:pPr>
        <w:spacing w:after="0" w:line="240"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(2)</w:t>
      </w:r>
      <w:r w:rsidR="007732E0" w:rsidRPr="00FF4584">
        <w:rPr>
          <w:rFonts w:ascii="Times New Roman" w:eastAsia="Calibri" w:hAnsi="Times New Roman" w:cs="Times New Roman"/>
          <w:sz w:val="24"/>
          <w:szCs w:val="24"/>
        </w:rPr>
        <w:t xml:space="preserve"> </w:t>
      </w:r>
      <w:r w:rsidRPr="00FF4584">
        <w:rPr>
          <w:rFonts w:ascii="Times New Roman" w:eastAsia="Calibri" w:hAnsi="Times New Roman" w:cs="Times New Roman"/>
          <w:sz w:val="24"/>
          <w:szCs w:val="24"/>
        </w:rPr>
        <w:t xml:space="preserve">Rutin testler için kabul edilen </w:t>
      </w:r>
      <w:proofErr w:type="gramStart"/>
      <w:r w:rsidRPr="00FF4584">
        <w:rPr>
          <w:rFonts w:ascii="Times New Roman" w:eastAsia="Calibri" w:hAnsi="Times New Roman" w:cs="Times New Roman"/>
          <w:sz w:val="24"/>
          <w:szCs w:val="24"/>
        </w:rPr>
        <w:t>kriter</w:t>
      </w:r>
      <w:proofErr w:type="gramEnd"/>
      <w:r w:rsidRPr="00FF4584">
        <w:rPr>
          <w:rFonts w:ascii="Times New Roman" w:eastAsia="Calibri" w:hAnsi="Times New Roman" w:cs="Times New Roman"/>
          <w:sz w:val="24"/>
          <w:szCs w:val="24"/>
        </w:rPr>
        <w:t xml:space="preserve"> aralıkları gerekçelendirilmelidir.  </w:t>
      </w:r>
    </w:p>
    <w:p w14:paraId="20BE2954" w14:textId="77777777" w:rsidR="009A1E4D" w:rsidRPr="00FF4584" w:rsidRDefault="009A1E4D" w:rsidP="009A1E4D">
      <w:pPr>
        <w:spacing w:after="0" w:line="240" w:lineRule="auto"/>
        <w:rPr>
          <w:rFonts w:ascii="Times New Roman" w:eastAsia="Calibri" w:hAnsi="Times New Roman" w:cs="Times New Roman"/>
          <w:sz w:val="24"/>
          <w:szCs w:val="24"/>
        </w:rPr>
      </w:pPr>
    </w:p>
    <w:p w14:paraId="3A442C72" w14:textId="77777777" w:rsidR="009A1E4D" w:rsidRDefault="009A1E4D" w:rsidP="009A1E4D">
      <w:pPr>
        <w:spacing w:after="0" w:line="240" w:lineRule="auto"/>
        <w:jc w:val="both"/>
        <w:rPr>
          <w:rFonts w:ascii="Times New Roman" w:eastAsia="Calibri" w:hAnsi="Times New Roman" w:cs="Times New Roman"/>
          <w:sz w:val="24"/>
          <w:szCs w:val="24"/>
        </w:rPr>
      </w:pPr>
      <w:r w:rsidRPr="00FF4584">
        <w:rPr>
          <w:rFonts w:ascii="Times New Roman" w:eastAsia="Calibri" w:hAnsi="Times New Roman" w:cs="Times New Roman"/>
          <w:sz w:val="24"/>
          <w:szCs w:val="24"/>
        </w:rPr>
        <w:t>(3)</w:t>
      </w:r>
      <w:r w:rsidR="007732E0" w:rsidRPr="00FF4584">
        <w:rPr>
          <w:rFonts w:ascii="Times New Roman" w:eastAsia="Calibri" w:hAnsi="Times New Roman" w:cs="Times New Roman"/>
          <w:sz w:val="24"/>
          <w:szCs w:val="24"/>
        </w:rPr>
        <w:t xml:space="preserve"> </w:t>
      </w:r>
      <w:r w:rsidRPr="00FF4584">
        <w:rPr>
          <w:rFonts w:ascii="Times New Roman" w:eastAsia="Calibri" w:hAnsi="Times New Roman" w:cs="Times New Roman"/>
          <w:sz w:val="24"/>
          <w:szCs w:val="24"/>
        </w:rPr>
        <w:t xml:space="preserve">Ürünün önerilen raf ömrü,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tıbbi ürün üzerinde yapılan eksiksiz </w:t>
      </w:r>
      <w:proofErr w:type="spellStart"/>
      <w:r w:rsidRPr="00FF4584">
        <w:rPr>
          <w:rFonts w:ascii="Times New Roman" w:eastAsia="Calibri" w:hAnsi="Times New Roman" w:cs="Times New Roman"/>
          <w:sz w:val="24"/>
          <w:szCs w:val="24"/>
        </w:rPr>
        <w:t>stabilite</w:t>
      </w:r>
      <w:proofErr w:type="spellEnd"/>
      <w:r w:rsidRPr="00FF4584">
        <w:rPr>
          <w:rFonts w:ascii="Times New Roman" w:eastAsia="Calibri" w:hAnsi="Times New Roman" w:cs="Times New Roman"/>
          <w:sz w:val="24"/>
          <w:szCs w:val="24"/>
        </w:rPr>
        <w:t xml:space="preserve"> çalışmaları sonucunda elde edilen veriler kullanılarak doğrulanmalıdır.  </w:t>
      </w:r>
      <w:proofErr w:type="spellStart"/>
      <w:r w:rsidRPr="00FF4584">
        <w:rPr>
          <w:rFonts w:ascii="Times New Roman" w:eastAsia="Calibri" w:hAnsi="Times New Roman" w:cs="Times New Roman"/>
          <w:sz w:val="24"/>
          <w:szCs w:val="24"/>
        </w:rPr>
        <w:t>Biyobenzer</w:t>
      </w:r>
      <w:proofErr w:type="spellEnd"/>
      <w:r w:rsidRPr="00FF4584">
        <w:rPr>
          <w:rFonts w:ascii="Times New Roman" w:eastAsia="Calibri" w:hAnsi="Times New Roman" w:cs="Times New Roman"/>
          <w:sz w:val="24"/>
          <w:szCs w:val="24"/>
        </w:rPr>
        <w:t xml:space="preserve"> </w:t>
      </w:r>
      <w:r w:rsidR="00BE40A4" w:rsidRPr="00FF4584">
        <w:rPr>
          <w:rFonts w:ascii="Times New Roman" w:eastAsia="Calibri" w:hAnsi="Times New Roman" w:cs="Times New Roman"/>
          <w:sz w:val="24"/>
          <w:szCs w:val="24"/>
        </w:rPr>
        <w:t xml:space="preserve">tıbbi ürün </w:t>
      </w:r>
      <w:r w:rsidRPr="00FF4584">
        <w:rPr>
          <w:rFonts w:ascii="Times New Roman" w:eastAsia="Calibri" w:hAnsi="Times New Roman" w:cs="Times New Roman"/>
          <w:sz w:val="24"/>
          <w:szCs w:val="24"/>
        </w:rPr>
        <w:t xml:space="preserve">ile referans tıbbi ürün arasında karşılaştırmalı, gerçek zamanlı, gerçek koşullara dayalı </w:t>
      </w:r>
      <w:proofErr w:type="spellStart"/>
      <w:r w:rsidRPr="00FF4584">
        <w:rPr>
          <w:rFonts w:ascii="Times New Roman" w:eastAsia="Calibri" w:hAnsi="Times New Roman" w:cs="Times New Roman"/>
          <w:sz w:val="24"/>
          <w:szCs w:val="24"/>
        </w:rPr>
        <w:t>stabilite</w:t>
      </w:r>
      <w:proofErr w:type="spellEnd"/>
      <w:r w:rsidRPr="00FF4584">
        <w:rPr>
          <w:rFonts w:ascii="Times New Roman" w:eastAsia="Calibri" w:hAnsi="Times New Roman" w:cs="Times New Roman"/>
          <w:sz w:val="24"/>
          <w:szCs w:val="24"/>
        </w:rPr>
        <w:t xml:space="preserve"> çalışmaları gerekli değildir.  </w:t>
      </w:r>
    </w:p>
    <w:p w14:paraId="6469DC57" w14:textId="48CBD56E" w:rsidR="00DC471C" w:rsidRPr="00C01A07" w:rsidRDefault="00DC471C" w:rsidP="009A1E4D">
      <w:pPr>
        <w:spacing w:after="0" w:line="276" w:lineRule="auto"/>
        <w:jc w:val="both"/>
        <w:rPr>
          <w:rFonts w:ascii="Times New Roman" w:eastAsia="Calibri" w:hAnsi="Times New Roman" w:cs="Times New Roman"/>
          <w:sz w:val="24"/>
          <w:szCs w:val="24"/>
        </w:rPr>
      </w:pPr>
    </w:p>
    <w:p w14:paraId="68EE31E5" w14:textId="77777777" w:rsidR="00336B38" w:rsidRDefault="00336B38" w:rsidP="00336B38">
      <w:pPr>
        <w:pStyle w:val="ListeParagraf"/>
        <w:numPr>
          <w:ilvl w:val="0"/>
          <w:numId w:val="27"/>
        </w:numPr>
        <w:spacing w:after="0" w:line="276" w:lineRule="auto"/>
        <w:rPr>
          <w:rFonts w:ascii="Times New Roman" w:hAnsi="Times New Roman" w:cs="Times New Roman"/>
          <w:b/>
          <w:sz w:val="24"/>
          <w:szCs w:val="24"/>
        </w:rPr>
      </w:pPr>
      <w:r w:rsidRPr="00A67E1B">
        <w:rPr>
          <w:rFonts w:ascii="Times New Roman" w:hAnsi="Times New Roman" w:cs="Times New Roman"/>
          <w:b/>
          <w:sz w:val="24"/>
          <w:szCs w:val="24"/>
        </w:rPr>
        <w:t xml:space="preserve">BÖLÜM </w:t>
      </w:r>
    </w:p>
    <w:p w14:paraId="14FD0FA3" w14:textId="77777777" w:rsidR="00336B38" w:rsidRDefault="00336B38" w:rsidP="00336B38">
      <w:pPr>
        <w:spacing w:after="0" w:line="276" w:lineRule="auto"/>
        <w:ind w:left="34"/>
        <w:rPr>
          <w:rFonts w:ascii="Times New Roman" w:hAnsi="Times New Roman" w:cs="Times New Roman"/>
          <w:b/>
          <w:sz w:val="24"/>
          <w:szCs w:val="24"/>
        </w:rPr>
      </w:pPr>
    </w:p>
    <w:p w14:paraId="4B4D93D7" w14:textId="77777777" w:rsidR="00336B38" w:rsidRPr="00A67E1B" w:rsidRDefault="00336B38" w:rsidP="00336B38">
      <w:pPr>
        <w:spacing w:after="0" w:line="276" w:lineRule="auto"/>
        <w:ind w:left="34"/>
        <w:rPr>
          <w:rFonts w:ascii="Times New Roman" w:hAnsi="Times New Roman" w:cs="Times New Roman"/>
          <w:b/>
          <w:sz w:val="24"/>
          <w:szCs w:val="24"/>
        </w:rPr>
      </w:pPr>
      <w:r>
        <w:rPr>
          <w:rFonts w:ascii="Times New Roman" w:hAnsi="Times New Roman" w:cs="Times New Roman"/>
          <w:b/>
          <w:sz w:val="24"/>
          <w:szCs w:val="24"/>
        </w:rPr>
        <w:t>Klinik Dışı Çalışmalar</w:t>
      </w:r>
    </w:p>
    <w:p w14:paraId="7A2D7EB6" w14:textId="77777777" w:rsidR="00336B38" w:rsidRPr="001F447B" w:rsidRDefault="00336B38" w:rsidP="00336B38">
      <w:pPr>
        <w:spacing w:after="0" w:line="276" w:lineRule="auto"/>
        <w:jc w:val="both"/>
        <w:rPr>
          <w:rFonts w:ascii="Times New Roman" w:eastAsia="Calibri" w:hAnsi="Times New Roman" w:cs="Times New Roman"/>
          <w:sz w:val="24"/>
          <w:szCs w:val="24"/>
        </w:rPr>
      </w:pPr>
    </w:p>
    <w:p w14:paraId="3E6303A1" w14:textId="77777777" w:rsidR="00336B38" w:rsidRPr="00A43316" w:rsidRDefault="00336B38" w:rsidP="00336B38">
      <w:pPr>
        <w:ind w:right="-567"/>
        <w:jc w:val="both"/>
        <w:rPr>
          <w:rFonts w:ascii="Times New Roman" w:hAnsi="Times New Roman" w:cs="Times New Roman"/>
          <w:sz w:val="24"/>
          <w:szCs w:val="24"/>
          <w:lang w:val="en-GB"/>
        </w:rPr>
      </w:pPr>
      <w:r w:rsidRPr="002549E3">
        <w:rPr>
          <w:rFonts w:ascii="Times New Roman" w:hAnsi="Times New Roman" w:cs="Times New Roman"/>
          <w:b/>
          <w:sz w:val="24"/>
          <w:szCs w:val="24"/>
        </w:rPr>
        <w:t>MADDE 1</w:t>
      </w:r>
      <w:r>
        <w:rPr>
          <w:rFonts w:ascii="Times New Roman" w:hAnsi="Times New Roman" w:cs="Times New Roman"/>
          <w:b/>
          <w:sz w:val="24"/>
          <w:szCs w:val="24"/>
        </w:rPr>
        <w:t>4</w:t>
      </w:r>
      <w:r w:rsidRPr="002549E3">
        <w:rPr>
          <w:rFonts w:ascii="Times New Roman" w:hAnsi="Times New Roman" w:cs="Times New Roman"/>
          <w:sz w:val="24"/>
          <w:szCs w:val="24"/>
        </w:rPr>
        <w:t xml:space="preserve">- (1) </w:t>
      </w:r>
      <w:proofErr w:type="spellStart"/>
      <w:r w:rsidRPr="002549E3">
        <w:rPr>
          <w:rFonts w:ascii="Times New Roman" w:hAnsi="Times New Roman" w:cs="Times New Roman"/>
          <w:sz w:val="24"/>
          <w:szCs w:val="24"/>
        </w:rPr>
        <w:t>Biyobenzerliği</w:t>
      </w:r>
      <w:proofErr w:type="spellEnd"/>
      <w:r w:rsidRPr="002549E3">
        <w:rPr>
          <w:rFonts w:ascii="Times New Roman" w:hAnsi="Times New Roman" w:cs="Times New Roman"/>
          <w:sz w:val="24"/>
          <w:szCs w:val="24"/>
        </w:rPr>
        <w:t xml:space="preserve"> desteklemek için, klinik çalışmalara başlamadan önce ilgili klinik </w:t>
      </w:r>
      <w:r w:rsidRPr="00A43316">
        <w:rPr>
          <w:rFonts w:ascii="Times New Roman" w:hAnsi="Times New Roman" w:cs="Times New Roman"/>
          <w:sz w:val="24"/>
          <w:szCs w:val="24"/>
        </w:rPr>
        <w:t>dışı çalışmalar gerçekleştirilmelidir.</w:t>
      </w:r>
      <w:r w:rsidRPr="00A43316">
        <w:rPr>
          <w:rFonts w:ascii="Times New Roman" w:hAnsi="Times New Roman" w:cs="Times New Roman"/>
          <w:sz w:val="24"/>
          <w:szCs w:val="24"/>
          <w:lang w:val="en-GB"/>
        </w:rPr>
        <w:t xml:space="preserve"> </w:t>
      </w:r>
    </w:p>
    <w:p w14:paraId="778F0689" w14:textId="77777777" w:rsidR="00336B38" w:rsidRPr="00A43316" w:rsidRDefault="00336B38" w:rsidP="00336B38">
      <w:pPr>
        <w:ind w:right="-567"/>
        <w:jc w:val="both"/>
        <w:rPr>
          <w:rFonts w:ascii="Times New Roman" w:hAnsi="Times New Roman" w:cs="Times New Roman"/>
          <w:sz w:val="24"/>
          <w:szCs w:val="24"/>
        </w:rPr>
      </w:pPr>
      <w:r w:rsidRPr="00A43316">
        <w:rPr>
          <w:rFonts w:ascii="Times New Roman" w:hAnsi="Times New Roman" w:cs="Times New Roman"/>
          <w:sz w:val="24"/>
          <w:szCs w:val="24"/>
          <w:lang w:val="en-GB"/>
        </w:rPr>
        <w:t xml:space="preserve">(2) </w:t>
      </w:r>
      <w:proofErr w:type="spellStart"/>
      <w:r w:rsidRPr="00A43316">
        <w:rPr>
          <w:rFonts w:ascii="Times New Roman" w:hAnsi="Times New Roman" w:cs="Times New Roman"/>
          <w:sz w:val="24"/>
          <w:szCs w:val="24"/>
          <w:lang w:val="en-GB"/>
        </w:rPr>
        <w:t>Preklinik</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karşılaştırma</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veri</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gereksinimi</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ürün</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sınıfına</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ve</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ayrıca</w:t>
      </w:r>
      <w:proofErr w:type="spellEnd"/>
      <w:r w:rsidRPr="00A43316">
        <w:rPr>
          <w:rFonts w:ascii="Times New Roman" w:hAnsi="Times New Roman" w:cs="Times New Roman"/>
          <w:sz w:val="24"/>
          <w:szCs w:val="24"/>
          <w:lang w:val="en-GB"/>
        </w:rPr>
        <w:t xml:space="preserve"> her </w:t>
      </w:r>
      <w:proofErr w:type="spellStart"/>
      <w:r w:rsidRPr="00A43316">
        <w:rPr>
          <w:rFonts w:ascii="Times New Roman" w:hAnsi="Times New Roman" w:cs="Times New Roman"/>
          <w:sz w:val="24"/>
          <w:szCs w:val="24"/>
          <w:lang w:val="en-GB"/>
        </w:rPr>
        <w:t>bir</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ürün</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ya</w:t>
      </w:r>
      <w:proofErr w:type="spellEnd"/>
      <w:r w:rsidRPr="00A43316">
        <w:rPr>
          <w:rFonts w:ascii="Times New Roman" w:hAnsi="Times New Roman" w:cs="Times New Roman"/>
          <w:sz w:val="24"/>
          <w:szCs w:val="24"/>
          <w:lang w:val="en-GB"/>
        </w:rPr>
        <w:t xml:space="preserve"> da </w:t>
      </w:r>
      <w:proofErr w:type="spellStart"/>
      <w:r w:rsidRPr="00A43316">
        <w:rPr>
          <w:rFonts w:ascii="Times New Roman" w:hAnsi="Times New Roman" w:cs="Times New Roman"/>
          <w:sz w:val="24"/>
          <w:szCs w:val="24"/>
          <w:lang w:val="en-GB"/>
        </w:rPr>
        <w:t>ürün</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sınıfının</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terapötik</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indeksi</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endikasyon</w:t>
      </w:r>
      <w:proofErr w:type="spellEnd"/>
      <w:r w:rsidRPr="00A43316">
        <w:rPr>
          <w:rFonts w:ascii="Times New Roman" w:hAnsi="Times New Roman" w:cs="Times New Roman"/>
          <w:sz w:val="24"/>
          <w:szCs w:val="24"/>
          <w:lang w:val="en-GB"/>
        </w:rPr>
        <w:t xml:space="preserve"> tipi </w:t>
      </w:r>
      <w:proofErr w:type="spellStart"/>
      <w:r w:rsidRPr="00A43316">
        <w:rPr>
          <w:rFonts w:ascii="Times New Roman" w:hAnsi="Times New Roman" w:cs="Times New Roman"/>
          <w:sz w:val="24"/>
          <w:szCs w:val="24"/>
          <w:lang w:val="en-GB"/>
        </w:rPr>
        <w:t>ve</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sayısı</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gibi</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çeşitli</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klinik</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parametrelere</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bağlı</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olarak</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değişebilmekle</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birlikte</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tüm</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biyobenzerler</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için</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referans</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ürün</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ile</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karşılaştırmalı</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preklinik</w:t>
      </w:r>
      <w:proofErr w:type="spellEnd"/>
      <w:r w:rsidRPr="00A43316">
        <w:rPr>
          <w:rFonts w:ascii="Times New Roman" w:hAnsi="Times New Roman" w:cs="Times New Roman"/>
          <w:sz w:val="24"/>
          <w:szCs w:val="24"/>
          <w:lang w:val="en-GB"/>
        </w:rPr>
        <w:t xml:space="preserve"> test </w:t>
      </w:r>
      <w:proofErr w:type="spellStart"/>
      <w:r w:rsidRPr="00A43316">
        <w:rPr>
          <w:rFonts w:ascii="Times New Roman" w:hAnsi="Times New Roman" w:cs="Times New Roman"/>
          <w:sz w:val="24"/>
          <w:szCs w:val="24"/>
          <w:lang w:val="en-GB"/>
        </w:rPr>
        <w:t>sonuçlarının</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sunulması</w:t>
      </w:r>
      <w:proofErr w:type="spellEnd"/>
      <w:r w:rsidRPr="00A43316">
        <w:rPr>
          <w:rFonts w:ascii="Times New Roman" w:hAnsi="Times New Roman" w:cs="Times New Roman"/>
          <w:sz w:val="24"/>
          <w:szCs w:val="24"/>
          <w:lang w:val="en-GB"/>
        </w:rPr>
        <w:t xml:space="preserve"> </w:t>
      </w:r>
      <w:proofErr w:type="spellStart"/>
      <w:r w:rsidRPr="00A43316">
        <w:rPr>
          <w:rFonts w:ascii="Times New Roman" w:hAnsi="Times New Roman" w:cs="Times New Roman"/>
          <w:sz w:val="24"/>
          <w:szCs w:val="24"/>
          <w:lang w:val="en-GB"/>
        </w:rPr>
        <w:t>zorunludur</w:t>
      </w:r>
      <w:proofErr w:type="spellEnd"/>
      <w:r w:rsidRPr="00A43316">
        <w:rPr>
          <w:rFonts w:ascii="Times New Roman" w:hAnsi="Times New Roman" w:cs="Times New Roman"/>
          <w:sz w:val="24"/>
          <w:szCs w:val="24"/>
          <w:lang w:val="en-GB"/>
        </w:rPr>
        <w:t xml:space="preserve">. </w:t>
      </w:r>
    </w:p>
    <w:p w14:paraId="44FAA7CF" w14:textId="645A0D97" w:rsidR="00336B38" w:rsidRPr="002549E3" w:rsidRDefault="00503BB9" w:rsidP="00336B38">
      <w:pPr>
        <w:ind w:right="-567"/>
        <w:jc w:val="both"/>
        <w:rPr>
          <w:rFonts w:ascii="Times New Roman" w:hAnsi="Times New Roman" w:cs="Times New Roman"/>
          <w:sz w:val="24"/>
          <w:szCs w:val="24"/>
        </w:rPr>
      </w:pPr>
      <w:r>
        <w:rPr>
          <w:rFonts w:ascii="Times New Roman" w:hAnsi="Times New Roman" w:cs="Times New Roman"/>
          <w:sz w:val="24"/>
          <w:szCs w:val="24"/>
        </w:rPr>
        <w:t>(3</w:t>
      </w:r>
      <w:r w:rsidR="00336B38" w:rsidRPr="002549E3">
        <w:rPr>
          <w:rFonts w:ascii="Times New Roman" w:hAnsi="Times New Roman" w:cs="Times New Roman"/>
          <w:sz w:val="24"/>
          <w:szCs w:val="24"/>
        </w:rPr>
        <w:t xml:space="preserve">) </w:t>
      </w:r>
      <w:proofErr w:type="spellStart"/>
      <w:r w:rsidR="00336B38" w:rsidRPr="002549E3">
        <w:rPr>
          <w:rFonts w:ascii="Times New Roman" w:hAnsi="Times New Roman" w:cs="Times New Roman"/>
          <w:sz w:val="24"/>
          <w:szCs w:val="24"/>
        </w:rPr>
        <w:t>Biyobenzer</w:t>
      </w:r>
      <w:proofErr w:type="spellEnd"/>
      <w:r w:rsidR="00336B38">
        <w:rPr>
          <w:rFonts w:ascii="Times New Roman" w:hAnsi="Times New Roman" w:cs="Times New Roman"/>
          <w:sz w:val="24"/>
          <w:szCs w:val="24"/>
        </w:rPr>
        <w:t xml:space="preserve"> tıbbi ürün</w:t>
      </w:r>
      <w:r w:rsidR="00336B38" w:rsidRPr="002549E3">
        <w:rPr>
          <w:rFonts w:ascii="Times New Roman" w:hAnsi="Times New Roman" w:cs="Times New Roman"/>
          <w:sz w:val="24"/>
          <w:szCs w:val="24"/>
        </w:rPr>
        <w:t xml:space="preserve"> ve referans </w:t>
      </w:r>
      <w:r w:rsidR="00336B38">
        <w:rPr>
          <w:rFonts w:ascii="Times New Roman" w:hAnsi="Times New Roman" w:cs="Times New Roman"/>
          <w:sz w:val="24"/>
          <w:szCs w:val="24"/>
        </w:rPr>
        <w:t xml:space="preserve">tıbbi </w:t>
      </w:r>
      <w:r w:rsidR="00336B38" w:rsidRPr="002549E3">
        <w:rPr>
          <w:rFonts w:ascii="Times New Roman" w:hAnsi="Times New Roman" w:cs="Times New Roman"/>
          <w:sz w:val="24"/>
          <w:szCs w:val="24"/>
        </w:rPr>
        <w:t>ürünün benzerliğini değerlendirmek için aşamalı bir yaklaşım tavsiye edilmektedir.</w:t>
      </w:r>
      <w:r w:rsidR="00336B38" w:rsidRPr="001F447B">
        <w:rPr>
          <w:rFonts w:ascii="Times New Roman" w:hAnsi="Times New Roman" w:cs="Times New Roman"/>
          <w:sz w:val="24"/>
          <w:szCs w:val="24"/>
        </w:rPr>
        <w:t xml:space="preserve"> </w:t>
      </w:r>
      <w:r w:rsidR="00336B38" w:rsidRPr="002549E3">
        <w:rPr>
          <w:rFonts w:ascii="Times New Roman" w:hAnsi="Times New Roman" w:cs="Times New Roman"/>
          <w:sz w:val="24"/>
          <w:szCs w:val="24"/>
        </w:rPr>
        <w:t xml:space="preserve">İlk olarak analitik çalışmalar ve </w:t>
      </w:r>
      <w:r w:rsidR="00336B38" w:rsidRPr="008C24BD">
        <w:rPr>
          <w:rFonts w:ascii="Times New Roman" w:hAnsi="Times New Roman" w:cs="Times New Roman"/>
          <w:i/>
          <w:sz w:val="24"/>
          <w:szCs w:val="24"/>
        </w:rPr>
        <w:t xml:space="preserve">in </w:t>
      </w:r>
      <w:proofErr w:type="spellStart"/>
      <w:r w:rsidR="00336B38" w:rsidRPr="008C24BD">
        <w:rPr>
          <w:rFonts w:ascii="Times New Roman" w:hAnsi="Times New Roman" w:cs="Times New Roman"/>
          <w:i/>
          <w:sz w:val="24"/>
          <w:szCs w:val="24"/>
        </w:rPr>
        <w:t>vitro</w:t>
      </w:r>
      <w:proofErr w:type="spellEnd"/>
      <w:r w:rsidR="00336B38" w:rsidRPr="002549E3">
        <w:rPr>
          <w:rFonts w:ascii="Times New Roman" w:hAnsi="Times New Roman" w:cs="Times New Roman"/>
          <w:sz w:val="24"/>
          <w:szCs w:val="24"/>
        </w:rPr>
        <w:t xml:space="preserve"> </w:t>
      </w:r>
      <w:proofErr w:type="spellStart"/>
      <w:r w:rsidR="00336B38" w:rsidRPr="002549E3">
        <w:rPr>
          <w:rFonts w:ascii="Times New Roman" w:hAnsi="Times New Roman" w:cs="Times New Roman"/>
          <w:sz w:val="24"/>
          <w:szCs w:val="24"/>
        </w:rPr>
        <w:t>farmakotoksikolojik</w:t>
      </w:r>
      <w:proofErr w:type="spellEnd"/>
      <w:r w:rsidR="00336B38" w:rsidRPr="002549E3">
        <w:rPr>
          <w:rFonts w:ascii="Times New Roman" w:hAnsi="Times New Roman" w:cs="Times New Roman"/>
          <w:sz w:val="24"/>
          <w:szCs w:val="24"/>
        </w:rPr>
        <w:t xml:space="preserve"> çalışmalar gerçekleştirilmelidir. Daha sonra, </w:t>
      </w:r>
      <w:r w:rsidR="00336B38" w:rsidRPr="008C24BD">
        <w:rPr>
          <w:rFonts w:ascii="Times New Roman" w:hAnsi="Times New Roman" w:cs="Times New Roman"/>
          <w:i/>
          <w:sz w:val="24"/>
          <w:szCs w:val="24"/>
        </w:rPr>
        <w:t xml:space="preserve">in </w:t>
      </w:r>
      <w:proofErr w:type="spellStart"/>
      <w:r w:rsidR="00336B38" w:rsidRPr="008C24BD">
        <w:rPr>
          <w:rFonts w:ascii="Times New Roman" w:hAnsi="Times New Roman" w:cs="Times New Roman"/>
          <w:i/>
          <w:sz w:val="24"/>
          <w:szCs w:val="24"/>
        </w:rPr>
        <w:t>vivo</w:t>
      </w:r>
      <w:proofErr w:type="spellEnd"/>
      <w:r w:rsidR="00336B38" w:rsidRPr="002549E3">
        <w:rPr>
          <w:rFonts w:ascii="Times New Roman" w:hAnsi="Times New Roman" w:cs="Times New Roman"/>
          <w:sz w:val="24"/>
          <w:szCs w:val="24"/>
        </w:rPr>
        <w:t xml:space="preserve"> hayvan çalışmalarının ne ölçüde gerekli olacağı ile ilgili karar verilmelidir. </w:t>
      </w:r>
    </w:p>
    <w:p w14:paraId="5F049BB8" w14:textId="3936CE81" w:rsidR="00336B38" w:rsidRPr="002549E3" w:rsidRDefault="00503BB9" w:rsidP="00336B38">
      <w:pPr>
        <w:ind w:right="-567"/>
        <w:jc w:val="both"/>
        <w:rPr>
          <w:rFonts w:ascii="Times New Roman" w:hAnsi="Times New Roman" w:cs="Times New Roman"/>
          <w:sz w:val="24"/>
          <w:szCs w:val="24"/>
        </w:rPr>
      </w:pPr>
      <w:r>
        <w:rPr>
          <w:rFonts w:ascii="Times New Roman" w:hAnsi="Times New Roman" w:cs="Times New Roman"/>
          <w:sz w:val="24"/>
          <w:szCs w:val="24"/>
        </w:rPr>
        <w:t>(4</w:t>
      </w:r>
      <w:r w:rsidR="00336B38" w:rsidRPr="002549E3">
        <w:rPr>
          <w:rFonts w:ascii="Times New Roman" w:hAnsi="Times New Roman" w:cs="Times New Roman"/>
          <w:sz w:val="24"/>
          <w:szCs w:val="24"/>
        </w:rPr>
        <w:t>) Klinik dışı çalışma programının, referans</w:t>
      </w:r>
      <w:r w:rsidR="00336B38">
        <w:rPr>
          <w:rFonts w:ascii="Times New Roman" w:hAnsi="Times New Roman" w:cs="Times New Roman"/>
          <w:sz w:val="24"/>
          <w:szCs w:val="24"/>
        </w:rPr>
        <w:t xml:space="preserve"> tıbbi</w:t>
      </w:r>
      <w:r w:rsidR="00336B38" w:rsidRPr="002549E3">
        <w:rPr>
          <w:rFonts w:ascii="Times New Roman" w:hAnsi="Times New Roman" w:cs="Times New Roman"/>
          <w:sz w:val="24"/>
          <w:szCs w:val="24"/>
        </w:rPr>
        <w:t xml:space="preserve"> ürünün </w:t>
      </w:r>
      <w:proofErr w:type="spellStart"/>
      <w:r w:rsidR="00336B38" w:rsidRPr="002549E3">
        <w:rPr>
          <w:rFonts w:ascii="Times New Roman" w:hAnsi="Times New Roman" w:cs="Times New Roman"/>
          <w:sz w:val="24"/>
          <w:szCs w:val="24"/>
        </w:rPr>
        <w:t>fizikokimyasal</w:t>
      </w:r>
      <w:proofErr w:type="spellEnd"/>
      <w:r w:rsidR="00336B38" w:rsidRPr="002549E3">
        <w:rPr>
          <w:rFonts w:ascii="Times New Roman" w:hAnsi="Times New Roman" w:cs="Times New Roman"/>
          <w:sz w:val="24"/>
          <w:szCs w:val="24"/>
        </w:rPr>
        <w:t xml:space="preserve"> ve biyolojik </w:t>
      </w:r>
      <w:proofErr w:type="spellStart"/>
      <w:r w:rsidR="00336B38" w:rsidRPr="002549E3">
        <w:rPr>
          <w:rFonts w:ascii="Times New Roman" w:hAnsi="Times New Roman" w:cs="Times New Roman"/>
          <w:sz w:val="24"/>
          <w:szCs w:val="24"/>
        </w:rPr>
        <w:t>karakterizasyon</w:t>
      </w:r>
      <w:proofErr w:type="spellEnd"/>
      <w:r w:rsidR="00336B38" w:rsidRPr="002549E3">
        <w:rPr>
          <w:rFonts w:ascii="Times New Roman" w:hAnsi="Times New Roman" w:cs="Times New Roman"/>
          <w:sz w:val="24"/>
          <w:szCs w:val="24"/>
        </w:rPr>
        <w:t xml:space="preserve"> özelliklerini net bir şekilde gösterecek yapıda karşılaştırmalı olarak düzenlenmesi gerekir. Referans </w:t>
      </w:r>
      <w:r w:rsidR="00336B38">
        <w:rPr>
          <w:rFonts w:ascii="Times New Roman" w:hAnsi="Times New Roman" w:cs="Times New Roman"/>
          <w:sz w:val="24"/>
          <w:szCs w:val="24"/>
        </w:rPr>
        <w:t xml:space="preserve">tıbbi </w:t>
      </w:r>
      <w:r w:rsidR="00336B38" w:rsidRPr="002549E3">
        <w:rPr>
          <w:rFonts w:ascii="Times New Roman" w:hAnsi="Times New Roman" w:cs="Times New Roman"/>
          <w:sz w:val="24"/>
          <w:szCs w:val="24"/>
        </w:rPr>
        <w:t xml:space="preserve">ürünle yapılacak klinik dışı karşılaştırma çalışmalarında </w:t>
      </w:r>
      <w:proofErr w:type="spellStart"/>
      <w:r w:rsidR="00336B38" w:rsidRPr="002549E3">
        <w:rPr>
          <w:rFonts w:ascii="Times New Roman" w:hAnsi="Times New Roman" w:cs="Times New Roman"/>
          <w:sz w:val="24"/>
          <w:szCs w:val="24"/>
        </w:rPr>
        <w:t>fizikokimyasal</w:t>
      </w:r>
      <w:proofErr w:type="spellEnd"/>
      <w:r w:rsidR="00336B38" w:rsidRPr="002549E3">
        <w:rPr>
          <w:rFonts w:ascii="Times New Roman" w:hAnsi="Times New Roman" w:cs="Times New Roman"/>
          <w:sz w:val="24"/>
          <w:szCs w:val="24"/>
        </w:rPr>
        <w:t xml:space="preserve"> ve biyolojik özellikler, klinik etkililik ve güvenlilik üzerine olası etkileri açısından incelenmelidir.</w:t>
      </w:r>
    </w:p>
    <w:p w14:paraId="4ED6D4C8" w14:textId="4D99E3CA" w:rsidR="00336B38" w:rsidRPr="002549E3" w:rsidRDefault="00503BB9" w:rsidP="00336B38">
      <w:pPr>
        <w:ind w:right="-567"/>
        <w:jc w:val="both"/>
        <w:rPr>
          <w:rFonts w:ascii="Times New Roman" w:hAnsi="Times New Roman" w:cs="Times New Roman"/>
          <w:sz w:val="24"/>
          <w:szCs w:val="24"/>
        </w:rPr>
      </w:pPr>
      <w:r>
        <w:rPr>
          <w:rFonts w:ascii="Times New Roman" w:hAnsi="Times New Roman" w:cs="Times New Roman"/>
          <w:sz w:val="24"/>
          <w:szCs w:val="24"/>
        </w:rPr>
        <w:t>(5</w:t>
      </w:r>
      <w:r w:rsidR="00336B38" w:rsidRPr="002549E3">
        <w:rPr>
          <w:rFonts w:ascii="Times New Roman" w:hAnsi="Times New Roman" w:cs="Times New Roman"/>
          <w:sz w:val="24"/>
          <w:szCs w:val="24"/>
        </w:rPr>
        <w:t>)</w:t>
      </w:r>
      <w:r w:rsidR="00336B38">
        <w:rPr>
          <w:rFonts w:ascii="Times New Roman" w:hAnsi="Times New Roman" w:cs="Times New Roman"/>
          <w:sz w:val="24"/>
          <w:szCs w:val="24"/>
        </w:rPr>
        <w:t xml:space="preserve"> </w:t>
      </w:r>
      <w:r w:rsidR="00336B38" w:rsidRPr="002549E3">
        <w:rPr>
          <w:rFonts w:ascii="Times New Roman" w:hAnsi="Times New Roman" w:cs="Times New Roman"/>
          <w:sz w:val="24"/>
          <w:szCs w:val="24"/>
        </w:rPr>
        <w:t xml:space="preserve">Aşağıdaki öneriler ürün temelinde değerlendirilmeli ve izlenen yaklaşım klinik dışı sonuçlar bölümünde gerekçelendirilmelidir. </w:t>
      </w:r>
    </w:p>
    <w:p w14:paraId="22ADEEED" w14:textId="77777777" w:rsidR="00336B38" w:rsidRPr="001F447B" w:rsidRDefault="00336B38" w:rsidP="00336B38">
      <w:pPr>
        <w:spacing w:after="0" w:line="276" w:lineRule="auto"/>
        <w:jc w:val="both"/>
        <w:rPr>
          <w:rFonts w:ascii="Times New Roman" w:eastAsia="Calibri" w:hAnsi="Times New Roman" w:cs="Times New Roman"/>
          <w:b/>
          <w:sz w:val="24"/>
          <w:szCs w:val="24"/>
        </w:rPr>
      </w:pPr>
    </w:p>
    <w:p w14:paraId="05B3ADA7" w14:textId="77777777" w:rsidR="00336B38" w:rsidRPr="008C24BD" w:rsidRDefault="00336B38" w:rsidP="00336B38">
      <w:pPr>
        <w:ind w:right="-567"/>
        <w:jc w:val="both"/>
        <w:rPr>
          <w:rFonts w:ascii="Times New Roman" w:hAnsi="Times New Roman" w:cs="Times New Roman"/>
          <w:b/>
          <w:sz w:val="24"/>
          <w:szCs w:val="24"/>
        </w:rPr>
      </w:pPr>
      <w:r w:rsidRPr="008C24BD">
        <w:rPr>
          <w:rFonts w:ascii="Times New Roman" w:hAnsi="Times New Roman" w:cs="Times New Roman"/>
          <w:b/>
          <w:i/>
          <w:sz w:val="24"/>
          <w:szCs w:val="24"/>
        </w:rPr>
        <w:t xml:space="preserve">İn </w:t>
      </w:r>
      <w:proofErr w:type="spellStart"/>
      <w:r w:rsidRPr="008C24BD">
        <w:rPr>
          <w:rFonts w:ascii="Times New Roman" w:hAnsi="Times New Roman" w:cs="Times New Roman"/>
          <w:b/>
          <w:i/>
          <w:sz w:val="24"/>
          <w:szCs w:val="24"/>
        </w:rPr>
        <w:t>Vitro</w:t>
      </w:r>
      <w:proofErr w:type="spellEnd"/>
      <w:r w:rsidRPr="008C24BD">
        <w:rPr>
          <w:rFonts w:ascii="Times New Roman" w:hAnsi="Times New Roman" w:cs="Times New Roman"/>
          <w:b/>
          <w:sz w:val="24"/>
          <w:szCs w:val="24"/>
        </w:rPr>
        <w:t xml:space="preserve"> Çalışmalar</w:t>
      </w:r>
    </w:p>
    <w:p w14:paraId="591991F2" w14:textId="449E1AD2" w:rsidR="00336B38" w:rsidRPr="002549E3" w:rsidRDefault="00336B38" w:rsidP="00336B38">
      <w:pPr>
        <w:ind w:right="-567"/>
        <w:jc w:val="both"/>
        <w:rPr>
          <w:rFonts w:ascii="Times New Roman" w:hAnsi="Times New Roman" w:cs="Times New Roman"/>
          <w:sz w:val="24"/>
          <w:szCs w:val="24"/>
        </w:rPr>
      </w:pPr>
      <w:r w:rsidRPr="008C24BD">
        <w:rPr>
          <w:rFonts w:ascii="Times New Roman" w:hAnsi="Times New Roman" w:cs="Times New Roman"/>
          <w:b/>
          <w:sz w:val="24"/>
          <w:szCs w:val="24"/>
        </w:rPr>
        <w:t>MADDE 1</w:t>
      </w:r>
      <w:r>
        <w:rPr>
          <w:rFonts w:ascii="Times New Roman" w:hAnsi="Times New Roman" w:cs="Times New Roman"/>
          <w:b/>
          <w:sz w:val="24"/>
          <w:szCs w:val="24"/>
        </w:rPr>
        <w:t>5</w:t>
      </w:r>
      <w:r w:rsidRPr="008C24BD">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549E3">
        <w:rPr>
          <w:rFonts w:ascii="Times New Roman" w:hAnsi="Times New Roman" w:cs="Times New Roman"/>
          <w:sz w:val="24"/>
          <w:szCs w:val="24"/>
        </w:rPr>
        <w:t>(1)</w:t>
      </w:r>
      <w:r>
        <w:rPr>
          <w:rFonts w:ascii="Times New Roman" w:hAnsi="Times New Roman" w:cs="Times New Roman"/>
          <w:sz w:val="24"/>
          <w:szCs w:val="24"/>
        </w:rPr>
        <w:t xml:space="preserve"> </w:t>
      </w:r>
      <w:r w:rsidRPr="00D816F5">
        <w:rPr>
          <w:rFonts w:ascii="Times New Roman" w:hAnsi="Times New Roman" w:cs="Times New Roman"/>
          <w:i/>
          <w:sz w:val="24"/>
          <w:szCs w:val="24"/>
          <w:lang w:val="en-GB"/>
        </w:rPr>
        <w:t>In vitro</w:t>
      </w:r>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çalışmalar</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biyobenzer</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ve</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referans</w:t>
      </w:r>
      <w:proofErr w:type="spellEnd"/>
      <w:r w:rsidR="00965C11">
        <w:rPr>
          <w:rFonts w:ascii="Times New Roman" w:hAnsi="Times New Roman" w:cs="Times New Roman"/>
          <w:sz w:val="24"/>
          <w:szCs w:val="24"/>
          <w:lang w:val="en-GB"/>
        </w:rPr>
        <w:t xml:space="preserve"> </w:t>
      </w:r>
      <w:proofErr w:type="spellStart"/>
      <w:r w:rsidR="00965C11">
        <w:rPr>
          <w:rFonts w:ascii="Times New Roman" w:hAnsi="Times New Roman" w:cs="Times New Roman"/>
          <w:sz w:val="24"/>
          <w:szCs w:val="24"/>
          <w:lang w:val="en-GB"/>
        </w:rPr>
        <w:t>tıbbi</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ürün</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arasındaki</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farklılıkları</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belirlemede</w:t>
      </w:r>
      <w:proofErr w:type="spellEnd"/>
      <w:r w:rsidRPr="00D816F5">
        <w:rPr>
          <w:rFonts w:ascii="Times New Roman" w:hAnsi="Times New Roman" w:cs="Times New Roman"/>
          <w:sz w:val="24"/>
          <w:szCs w:val="24"/>
          <w:lang w:val="en-GB"/>
        </w:rPr>
        <w:t xml:space="preserve"> </w:t>
      </w:r>
      <w:r w:rsidRPr="00965C11">
        <w:rPr>
          <w:rFonts w:ascii="Times New Roman" w:hAnsi="Times New Roman" w:cs="Times New Roman"/>
          <w:i/>
          <w:sz w:val="24"/>
          <w:szCs w:val="24"/>
          <w:lang w:val="en-GB"/>
        </w:rPr>
        <w:t>in vivo</w:t>
      </w:r>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hayvan</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çalışmalarından</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çok</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daha</w:t>
      </w:r>
      <w:proofErr w:type="spellEnd"/>
      <w:r w:rsidRPr="00D816F5">
        <w:rPr>
          <w:rFonts w:ascii="Times New Roman" w:hAnsi="Times New Roman" w:cs="Times New Roman"/>
          <w:sz w:val="24"/>
          <w:szCs w:val="24"/>
          <w:lang w:val="en-GB"/>
        </w:rPr>
        <w:t xml:space="preserve"> </w:t>
      </w:r>
      <w:proofErr w:type="spellStart"/>
      <w:proofErr w:type="gramStart"/>
      <w:r w:rsidRPr="00D816F5">
        <w:rPr>
          <w:rFonts w:ascii="Times New Roman" w:hAnsi="Times New Roman" w:cs="Times New Roman"/>
          <w:sz w:val="24"/>
          <w:szCs w:val="24"/>
          <w:lang w:val="en-GB"/>
        </w:rPr>
        <w:t>spesifik</w:t>
      </w:r>
      <w:proofErr w:type="spellEnd"/>
      <w:proofErr w:type="gram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ve</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duyarlı</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oldukları</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için</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klinik</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dışı</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karşılaştırma</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testlerinin</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temelini</w:t>
      </w:r>
      <w:proofErr w:type="spellEnd"/>
      <w:r w:rsidRPr="00D816F5">
        <w:rPr>
          <w:rFonts w:ascii="Times New Roman" w:hAnsi="Times New Roman" w:cs="Times New Roman"/>
          <w:sz w:val="24"/>
          <w:szCs w:val="24"/>
          <w:lang w:val="en-GB"/>
        </w:rPr>
        <w:t xml:space="preserve"> </w:t>
      </w:r>
      <w:proofErr w:type="spellStart"/>
      <w:r w:rsidRPr="00D816F5">
        <w:rPr>
          <w:rFonts w:ascii="Times New Roman" w:hAnsi="Times New Roman" w:cs="Times New Roman"/>
          <w:sz w:val="24"/>
          <w:szCs w:val="24"/>
          <w:lang w:val="en-GB"/>
        </w:rPr>
        <w:t>oluştururlar</w:t>
      </w:r>
      <w:proofErr w:type="spellEnd"/>
      <w:r w:rsidRPr="00D816F5">
        <w:rPr>
          <w:rFonts w:ascii="Times New Roman" w:hAnsi="Times New Roman" w:cs="Times New Roman"/>
          <w:sz w:val="24"/>
          <w:szCs w:val="24"/>
          <w:lang w:val="en-GB"/>
        </w:rPr>
        <w:t>.</w:t>
      </w:r>
    </w:p>
    <w:p w14:paraId="4500C62F" w14:textId="77777777" w:rsidR="00336B38" w:rsidRPr="002549E3" w:rsidRDefault="00336B38" w:rsidP="00336B38">
      <w:pPr>
        <w:ind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549E3">
        <w:rPr>
          <w:rFonts w:ascii="Times New Roman" w:hAnsi="Times New Roman" w:cs="Times New Roman"/>
          <w:sz w:val="24"/>
          <w:szCs w:val="24"/>
        </w:rPr>
        <w:t xml:space="preserve">Referans </w:t>
      </w:r>
      <w:r>
        <w:rPr>
          <w:rFonts w:ascii="Times New Roman" w:hAnsi="Times New Roman" w:cs="Times New Roman"/>
          <w:sz w:val="24"/>
          <w:szCs w:val="24"/>
        </w:rPr>
        <w:t xml:space="preserve">tıbbi </w:t>
      </w:r>
      <w:r w:rsidRPr="002549E3">
        <w:rPr>
          <w:rFonts w:ascii="Times New Roman" w:hAnsi="Times New Roman" w:cs="Times New Roman"/>
          <w:sz w:val="24"/>
          <w:szCs w:val="24"/>
        </w:rPr>
        <w:t xml:space="preserve">ürün ile </w:t>
      </w:r>
      <w:proofErr w:type="spellStart"/>
      <w:r w:rsidRPr="002549E3">
        <w:rPr>
          <w:rFonts w:ascii="Times New Roman" w:hAnsi="Times New Roman" w:cs="Times New Roman"/>
          <w:sz w:val="24"/>
          <w:szCs w:val="24"/>
        </w:rPr>
        <w:t>biyobenzer</w:t>
      </w:r>
      <w:proofErr w:type="spellEnd"/>
      <w:r w:rsidRPr="002549E3">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549E3">
        <w:rPr>
          <w:rFonts w:ascii="Times New Roman" w:hAnsi="Times New Roman" w:cs="Times New Roman"/>
          <w:sz w:val="24"/>
          <w:szCs w:val="24"/>
        </w:rPr>
        <w:t xml:space="preserve">ürün arasında olası biyolojik aktivite farklılığını ortaya koymak için; karşılaştırmalı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vitro</w:t>
      </w:r>
      <w:proofErr w:type="spellEnd"/>
      <w:r w:rsidRPr="002549E3">
        <w:rPr>
          <w:rFonts w:ascii="Times New Roman" w:hAnsi="Times New Roman" w:cs="Times New Roman"/>
          <w:sz w:val="24"/>
          <w:szCs w:val="24"/>
        </w:rPr>
        <w:t xml:space="preserve"> çalışmalar (bu verilerin bir kısmı kalite ile ilgili çalışmalardan oluşabilir) gereklidir. Bu çalışmalar, aşağıda belirtilen konularda ilgili analizleri içermelidir:</w:t>
      </w:r>
    </w:p>
    <w:p w14:paraId="49BFC7AC" w14:textId="6CC3904F" w:rsidR="00336B38" w:rsidRPr="002549E3" w:rsidRDefault="000C6E7D" w:rsidP="00336B38">
      <w:pPr>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00AC1590">
        <w:rPr>
          <w:rFonts w:ascii="Times New Roman" w:hAnsi="Times New Roman" w:cs="Times New Roman"/>
          <w:sz w:val="24"/>
          <w:szCs w:val="24"/>
        </w:rPr>
        <w:t xml:space="preserve">a) </w:t>
      </w:r>
      <w:r w:rsidR="00336B38" w:rsidRPr="002549E3">
        <w:rPr>
          <w:rFonts w:ascii="Times New Roman" w:hAnsi="Times New Roman" w:cs="Times New Roman"/>
          <w:sz w:val="24"/>
          <w:szCs w:val="24"/>
        </w:rPr>
        <w:t xml:space="preserve">Referans </w:t>
      </w:r>
      <w:r w:rsidR="00336B38">
        <w:rPr>
          <w:rFonts w:ascii="Times New Roman" w:hAnsi="Times New Roman" w:cs="Times New Roman"/>
          <w:sz w:val="24"/>
          <w:szCs w:val="24"/>
        </w:rPr>
        <w:t xml:space="preserve">tıbbi </w:t>
      </w:r>
      <w:r w:rsidR="00336B38" w:rsidRPr="002549E3">
        <w:rPr>
          <w:rFonts w:ascii="Times New Roman" w:hAnsi="Times New Roman" w:cs="Times New Roman"/>
          <w:sz w:val="24"/>
          <w:szCs w:val="24"/>
        </w:rPr>
        <w:t xml:space="preserve">ürünün </w:t>
      </w:r>
      <w:proofErr w:type="spellStart"/>
      <w:r w:rsidR="00336B38" w:rsidRPr="002549E3">
        <w:rPr>
          <w:rFonts w:ascii="Times New Roman" w:hAnsi="Times New Roman" w:cs="Times New Roman"/>
          <w:sz w:val="24"/>
          <w:szCs w:val="24"/>
        </w:rPr>
        <w:t>farmakotoksikolojik</w:t>
      </w:r>
      <w:proofErr w:type="spellEnd"/>
      <w:r w:rsidR="00336B38" w:rsidRPr="002549E3">
        <w:rPr>
          <w:rFonts w:ascii="Times New Roman" w:hAnsi="Times New Roman" w:cs="Times New Roman"/>
          <w:sz w:val="24"/>
          <w:szCs w:val="24"/>
        </w:rPr>
        <w:t xml:space="preserve"> etkileri ve/veya </w:t>
      </w:r>
      <w:proofErr w:type="spellStart"/>
      <w:r w:rsidR="00336B38" w:rsidRPr="002549E3">
        <w:rPr>
          <w:rFonts w:ascii="Times New Roman" w:hAnsi="Times New Roman" w:cs="Times New Roman"/>
          <w:sz w:val="24"/>
          <w:szCs w:val="24"/>
        </w:rPr>
        <w:t>farmakokinetiği</w:t>
      </w:r>
      <w:proofErr w:type="spellEnd"/>
      <w:r w:rsidR="00336B38">
        <w:rPr>
          <w:rFonts w:ascii="Times New Roman" w:hAnsi="Times New Roman" w:cs="Times New Roman"/>
          <w:sz w:val="24"/>
          <w:szCs w:val="24"/>
        </w:rPr>
        <w:t xml:space="preserve"> ile ilişkili</w:t>
      </w:r>
      <w:r w:rsidR="00336B38" w:rsidRPr="002549E3">
        <w:rPr>
          <w:rFonts w:ascii="Times New Roman" w:hAnsi="Times New Roman" w:cs="Times New Roman"/>
          <w:sz w:val="24"/>
          <w:szCs w:val="24"/>
        </w:rPr>
        <w:t xml:space="preserve"> hedef / hedefler</w:t>
      </w:r>
      <w:r w:rsidR="00336B38">
        <w:rPr>
          <w:rFonts w:ascii="Times New Roman" w:hAnsi="Times New Roman" w:cs="Times New Roman"/>
          <w:sz w:val="24"/>
          <w:szCs w:val="24"/>
        </w:rPr>
        <w:t>e</w:t>
      </w:r>
      <w:r w:rsidR="00336B38" w:rsidRPr="002549E3">
        <w:rPr>
          <w:rFonts w:ascii="Times New Roman" w:hAnsi="Times New Roman" w:cs="Times New Roman"/>
          <w:sz w:val="24"/>
          <w:szCs w:val="24"/>
        </w:rPr>
        <w:t xml:space="preserve"> (örnek olarak reseptörler, antijenler, enzimler) bağlanma. </w:t>
      </w:r>
    </w:p>
    <w:p w14:paraId="5D5C0014" w14:textId="59EC3CA1" w:rsidR="00336B38" w:rsidRPr="002549E3" w:rsidRDefault="000C6E7D" w:rsidP="00336B38">
      <w:pPr>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00AC1590">
        <w:rPr>
          <w:rFonts w:ascii="Times New Roman" w:hAnsi="Times New Roman" w:cs="Times New Roman"/>
          <w:sz w:val="24"/>
          <w:szCs w:val="24"/>
        </w:rPr>
        <w:t xml:space="preserve">b) </w:t>
      </w:r>
      <w:r w:rsidR="00336B38" w:rsidRPr="00A26624">
        <w:rPr>
          <w:rFonts w:ascii="Times New Roman" w:hAnsi="Times New Roman" w:cs="Times New Roman"/>
          <w:sz w:val="24"/>
          <w:szCs w:val="24"/>
        </w:rPr>
        <w:t>Referans</w:t>
      </w:r>
      <w:r w:rsidR="00336B38" w:rsidRPr="00A33EC1">
        <w:rPr>
          <w:rFonts w:ascii="Times New Roman" w:hAnsi="Times New Roman" w:cs="Times New Roman"/>
          <w:sz w:val="24"/>
          <w:szCs w:val="24"/>
        </w:rPr>
        <w:t xml:space="preserve"> tıbbi ürünün </w:t>
      </w:r>
      <w:proofErr w:type="spellStart"/>
      <w:r w:rsidR="00336B38" w:rsidRPr="00A33EC1">
        <w:rPr>
          <w:rFonts w:ascii="Times New Roman" w:hAnsi="Times New Roman" w:cs="Times New Roman"/>
          <w:sz w:val="24"/>
          <w:szCs w:val="24"/>
        </w:rPr>
        <w:t>farmakotoksikolojik</w:t>
      </w:r>
      <w:proofErr w:type="spellEnd"/>
      <w:r w:rsidR="00336B38" w:rsidRPr="00A33EC1">
        <w:rPr>
          <w:rFonts w:ascii="Times New Roman" w:hAnsi="Times New Roman" w:cs="Times New Roman"/>
          <w:sz w:val="24"/>
          <w:szCs w:val="24"/>
        </w:rPr>
        <w:t xml:space="preserve"> etkileri</w:t>
      </w:r>
      <w:r w:rsidR="00336B38">
        <w:rPr>
          <w:rFonts w:ascii="Times New Roman" w:hAnsi="Times New Roman" w:cs="Times New Roman"/>
          <w:sz w:val="24"/>
          <w:szCs w:val="24"/>
        </w:rPr>
        <w:t xml:space="preserve">nde önemli olduğu bilinen </w:t>
      </w:r>
      <w:r w:rsidR="00336B38" w:rsidRPr="00A33EC1">
        <w:rPr>
          <w:rFonts w:ascii="Times New Roman" w:hAnsi="Times New Roman" w:cs="Times New Roman"/>
          <w:sz w:val="24"/>
          <w:szCs w:val="24"/>
        </w:rPr>
        <w:t>hücre</w:t>
      </w:r>
      <w:r w:rsidR="00336B38" w:rsidRPr="00F64AD3">
        <w:rPr>
          <w:rFonts w:ascii="Times New Roman" w:hAnsi="Times New Roman" w:cs="Times New Roman"/>
          <w:sz w:val="24"/>
          <w:szCs w:val="24"/>
        </w:rPr>
        <w:t xml:space="preserve">sel </w:t>
      </w:r>
      <w:r w:rsidR="00336B38" w:rsidRPr="00A26624">
        <w:rPr>
          <w:rFonts w:ascii="Times New Roman" w:hAnsi="Times New Roman" w:cs="Times New Roman"/>
          <w:sz w:val="24"/>
          <w:szCs w:val="24"/>
        </w:rPr>
        <w:t>sinyal iletim</w:t>
      </w:r>
      <w:r w:rsidR="00336B38" w:rsidRPr="00F64AD3">
        <w:rPr>
          <w:rFonts w:ascii="Times New Roman" w:hAnsi="Times New Roman" w:cs="Times New Roman"/>
          <w:sz w:val="24"/>
          <w:szCs w:val="24"/>
        </w:rPr>
        <w:t xml:space="preserve"> yolakları</w:t>
      </w:r>
      <w:r w:rsidR="00336B38" w:rsidRPr="00A26624">
        <w:rPr>
          <w:rFonts w:ascii="Times New Roman" w:hAnsi="Times New Roman" w:cs="Times New Roman"/>
          <w:sz w:val="24"/>
          <w:szCs w:val="24"/>
        </w:rPr>
        <w:t xml:space="preserve"> ve </w:t>
      </w:r>
      <w:r w:rsidR="00336B38" w:rsidRPr="00A33EC1">
        <w:rPr>
          <w:rFonts w:ascii="Times New Roman" w:hAnsi="Times New Roman" w:cs="Times New Roman"/>
          <w:sz w:val="24"/>
          <w:szCs w:val="24"/>
        </w:rPr>
        <w:t>işlevsel</w:t>
      </w:r>
      <w:r w:rsidR="00336B38">
        <w:rPr>
          <w:rFonts w:ascii="Times New Roman" w:hAnsi="Times New Roman" w:cs="Times New Roman"/>
          <w:sz w:val="24"/>
          <w:szCs w:val="24"/>
        </w:rPr>
        <w:t>lik</w:t>
      </w:r>
      <w:r w:rsidR="00336B38" w:rsidRPr="00A33EC1">
        <w:rPr>
          <w:rFonts w:ascii="Times New Roman" w:hAnsi="Times New Roman" w:cs="Times New Roman"/>
          <w:sz w:val="24"/>
          <w:szCs w:val="24"/>
        </w:rPr>
        <w:t>/canlılı</w:t>
      </w:r>
      <w:r w:rsidR="00336B38">
        <w:rPr>
          <w:rFonts w:ascii="Times New Roman" w:hAnsi="Times New Roman" w:cs="Times New Roman"/>
          <w:sz w:val="24"/>
          <w:szCs w:val="24"/>
        </w:rPr>
        <w:t>k üzerinde etkiler</w:t>
      </w:r>
      <w:r w:rsidR="00336B38" w:rsidRPr="00A33EC1">
        <w:rPr>
          <w:rFonts w:ascii="Times New Roman" w:hAnsi="Times New Roman" w:cs="Times New Roman"/>
          <w:sz w:val="24"/>
          <w:szCs w:val="24"/>
        </w:rPr>
        <w:t>.</w:t>
      </w:r>
    </w:p>
    <w:p w14:paraId="2D7BDD01" w14:textId="16AAD911"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3</w:t>
      </w:r>
      <w:r w:rsidRPr="002549E3">
        <w:rPr>
          <w:rFonts w:ascii="Times New Roman" w:hAnsi="Times New Roman" w:cs="Times New Roman"/>
          <w:sz w:val="24"/>
          <w:szCs w:val="24"/>
        </w:rPr>
        <w:t xml:space="preserve">) </w:t>
      </w:r>
      <w:r>
        <w:rPr>
          <w:rFonts w:ascii="Times New Roman" w:hAnsi="Times New Roman" w:cs="Times New Roman"/>
          <w:sz w:val="24"/>
          <w:szCs w:val="24"/>
        </w:rPr>
        <w:t>Yukar</w:t>
      </w:r>
      <w:r w:rsidR="00481CEB">
        <w:rPr>
          <w:rFonts w:ascii="Times New Roman" w:hAnsi="Times New Roman" w:cs="Times New Roman"/>
          <w:sz w:val="24"/>
          <w:szCs w:val="24"/>
        </w:rPr>
        <w:t>ı</w:t>
      </w:r>
      <w:r>
        <w:rPr>
          <w:rFonts w:ascii="Times New Roman" w:hAnsi="Times New Roman" w:cs="Times New Roman"/>
          <w:sz w:val="24"/>
          <w:szCs w:val="24"/>
        </w:rPr>
        <w:t>da sözü edilen ç</w:t>
      </w:r>
      <w:r w:rsidRPr="002549E3">
        <w:rPr>
          <w:rFonts w:ascii="Times New Roman" w:hAnsi="Times New Roman" w:cs="Times New Roman"/>
          <w:sz w:val="24"/>
          <w:szCs w:val="24"/>
        </w:rPr>
        <w:t>alışmalar</w:t>
      </w:r>
      <w:r>
        <w:rPr>
          <w:rFonts w:ascii="Times New Roman" w:hAnsi="Times New Roman" w:cs="Times New Roman"/>
          <w:sz w:val="24"/>
          <w:szCs w:val="24"/>
        </w:rPr>
        <w:t xml:space="preserve"> referans tıbbi ürün ile </w:t>
      </w:r>
      <w:proofErr w:type="spellStart"/>
      <w:r>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ürünün etkilerini </w:t>
      </w:r>
      <w:r w:rsidRPr="002549E3">
        <w:rPr>
          <w:rFonts w:ascii="Times New Roman" w:hAnsi="Times New Roman" w:cs="Times New Roman"/>
          <w:sz w:val="24"/>
          <w:szCs w:val="24"/>
        </w:rPr>
        <w:t>karşılaştırma</w:t>
      </w:r>
      <w:r>
        <w:rPr>
          <w:rFonts w:ascii="Times New Roman" w:hAnsi="Times New Roman" w:cs="Times New Roman"/>
          <w:sz w:val="24"/>
          <w:szCs w:val="24"/>
        </w:rPr>
        <w:t xml:space="preserve">ya yönelik olarak gerçekleştirilmelidir; </w:t>
      </w:r>
      <w:r w:rsidRPr="002549E3">
        <w:rPr>
          <w:rFonts w:ascii="Times New Roman" w:hAnsi="Times New Roman" w:cs="Times New Roman"/>
          <w:sz w:val="24"/>
          <w:szCs w:val="24"/>
        </w:rPr>
        <w:t xml:space="preserve">tek başına referans </w:t>
      </w:r>
      <w:r>
        <w:rPr>
          <w:rFonts w:ascii="Times New Roman" w:hAnsi="Times New Roman" w:cs="Times New Roman"/>
          <w:sz w:val="24"/>
          <w:szCs w:val="24"/>
        </w:rPr>
        <w:t xml:space="preserve">tıbbi </w:t>
      </w:r>
      <w:r w:rsidRPr="002549E3">
        <w:rPr>
          <w:rFonts w:ascii="Times New Roman" w:hAnsi="Times New Roman" w:cs="Times New Roman"/>
          <w:sz w:val="24"/>
          <w:szCs w:val="24"/>
        </w:rPr>
        <w:t xml:space="preserve">ürünün veya </w:t>
      </w:r>
      <w:proofErr w:type="spellStart"/>
      <w:r w:rsidRPr="002549E3">
        <w:rPr>
          <w:rFonts w:ascii="Times New Roman" w:hAnsi="Times New Roman" w:cs="Times New Roman"/>
          <w:sz w:val="24"/>
          <w:szCs w:val="24"/>
        </w:rPr>
        <w:t>biyobenzer</w:t>
      </w:r>
      <w:proofErr w:type="spellEnd"/>
      <w:r w:rsidRPr="002549E3">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549E3">
        <w:rPr>
          <w:rFonts w:ascii="Times New Roman" w:hAnsi="Times New Roman" w:cs="Times New Roman"/>
          <w:sz w:val="24"/>
          <w:szCs w:val="24"/>
        </w:rPr>
        <w:t xml:space="preserve">ürünün kullanıldığı çalışmalar değerlendirme kapsamında değildir. Kesin sonuçlar elde etmek için, kullanılan yöntemler kendi amaçları doğrultusunda uygun ve bilimsel olarak geçerli olmalıdır. Kalite çalışmalarında </w:t>
      </w:r>
      <w:r>
        <w:rPr>
          <w:rFonts w:ascii="Times New Roman" w:hAnsi="Times New Roman" w:cs="Times New Roman"/>
          <w:sz w:val="24"/>
          <w:szCs w:val="24"/>
        </w:rPr>
        <w:t xml:space="preserve">saptanan farklılıkların klinik açıdan önemli olmayacağını kanıtlayabilmek için bu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vitro</w:t>
      </w:r>
      <w:proofErr w:type="spellEnd"/>
      <w:r w:rsidRPr="002549E3">
        <w:rPr>
          <w:rFonts w:ascii="Times New Roman" w:hAnsi="Times New Roman" w:cs="Times New Roman"/>
          <w:sz w:val="24"/>
          <w:szCs w:val="24"/>
        </w:rPr>
        <w:t xml:space="preserve"> çalışmalar</w:t>
      </w:r>
      <w:r>
        <w:rPr>
          <w:rFonts w:ascii="Times New Roman" w:hAnsi="Times New Roman" w:cs="Times New Roman"/>
          <w:sz w:val="24"/>
          <w:szCs w:val="24"/>
        </w:rPr>
        <w:t>ın</w:t>
      </w:r>
      <w:r w:rsidRPr="002549E3">
        <w:rPr>
          <w:rFonts w:ascii="Times New Roman" w:hAnsi="Times New Roman" w:cs="Times New Roman"/>
          <w:sz w:val="24"/>
          <w:szCs w:val="24"/>
        </w:rPr>
        <w:t xml:space="preserve"> hassas, </w:t>
      </w:r>
      <w:r>
        <w:rPr>
          <w:rFonts w:ascii="Times New Roman" w:hAnsi="Times New Roman" w:cs="Times New Roman"/>
          <w:sz w:val="24"/>
          <w:szCs w:val="24"/>
        </w:rPr>
        <w:t>özgül</w:t>
      </w:r>
      <w:r w:rsidRPr="002549E3">
        <w:rPr>
          <w:rFonts w:ascii="Times New Roman" w:hAnsi="Times New Roman" w:cs="Times New Roman"/>
          <w:sz w:val="24"/>
          <w:szCs w:val="24"/>
        </w:rPr>
        <w:t xml:space="preserve"> ve yeterli düzeyde ayırt edici olmal</w:t>
      </w:r>
      <w:r>
        <w:rPr>
          <w:rFonts w:ascii="Times New Roman" w:hAnsi="Times New Roman" w:cs="Times New Roman"/>
          <w:sz w:val="24"/>
          <w:szCs w:val="24"/>
        </w:rPr>
        <w:t>arı gerekmektedir</w:t>
      </w:r>
      <w:r w:rsidRPr="002549E3">
        <w:rPr>
          <w:rFonts w:ascii="Times New Roman" w:hAnsi="Times New Roman" w:cs="Times New Roman"/>
          <w:sz w:val="24"/>
          <w:szCs w:val="24"/>
        </w:rPr>
        <w:t>.</w:t>
      </w:r>
    </w:p>
    <w:p w14:paraId="03DA2BC2" w14:textId="1E20CEF3"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4</w:t>
      </w:r>
      <w:r w:rsidRPr="002549E3">
        <w:rPr>
          <w:rFonts w:ascii="Times New Roman" w:hAnsi="Times New Roman" w:cs="Times New Roman"/>
          <w:sz w:val="24"/>
          <w:szCs w:val="24"/>
        </w:rPr>
        <w:t xml:space="preserve">) </w:t>
      </w:r>
      <w:r>
        <w:rPr>
          <w:rFonts w:ascii="Times New Roman" w:hAnsi="Times New Roman" w:cs="Times New Roman"/>
          <w:sz w:val="24"/>
          <w:szCs w:val="24"/>
        </w:rPr>
        <w:t>R</w:t>
      </w:r>
      <w:r w:rsidRPr="002549E3">
        <w:rPr>
          <w:rFonts w:ascii="Times New Roman" w:hAnsi="Times New Roman" w:cs="Times New Roman"/>
          <w:sz w:val="24"/>
          <w:szCs w:val="24"/>
        </w:rPr>
        <w:t xml:space="preserve">eferans </w:t>
      </w:r>
      <w:r>
        <w:rPr>
          <w:rFonts w:ascii="Times New Roman" w:hAnsi="Times New Roman" w:cs="Times New Roman"/>
          <w:sz w:val="24"/>
          <w:szCs w:val="24"/>
        </w:rPr>
        <w:t xml:space="preserve">tıbbi ürün </w:t>
      </w:r>
      <w:r w:rsidRPr="002549E3">
        <w:rPr>
          <w:rFonts w:ascii="Times New Roman" w:hAnsi="Times New Roman" w:cs="Times New Roman"/>
          <w:sz w:val="24"/>
          <w:szCs w:val="24"/>
        </w:rPr>
        <w:t xml:space="preserve">ve </w:t>
      </w:r>
      <w:proofErr w:type="spellStart"/>
      <w:r w:rsidRPr="002549E3">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w:t>
      </w:r>
      <w:r w:rsidRPr="002549E3">
        <w:rPr>
          <w:rFonts w:ascii="Times New Roman" w:hAnsi="Times New Roman" w:cs="Times New Roman"/>
          <w:sz w:val="24"/>
          <w:szCs w:val="24"/>
        </w:rPr>
        <w:t xml:space="preserve"> ürünün farmakolojik hedef(</w:t>
      </w:r>
      <w:proofErr w:type="spellStart"/>
      <w:r w:rsidRPr="002549E3">
        <w:rPr>
          <w:rFonts w:ascii="Times New Roman" w:hAnsi="Times New Roman" w:cs="Times New Roman"/>
          <w:sz w:val="24"/>
          <w:szCs w:val="24"/>
        </w:rPr>
        <w:t>ler</w:t>
      </w:r>
      <w:proofErr w:type="spellEnd"/>
      <w:r w:rsidRPr="002549E3">
        <w:rPr>
          <w:rFonts w:ascii="Times New Roman" w:hAnsi="Times New Roman" w:cs="Times New Roman"/>
          <w:sz w:val="24"/>
          <w:szCs w:val="24"/>
        </w:rPr>
        <w:t>)</w:t>
      </w:r>
      <w:r>
        <w:rPr>
          <w:rFonts w:ascii="Times New Roman" w:hAnsi="Times New Roman" w:cs="Times New Roman"/>
          <w:sz w:val="24"/>
          <w:szCs w:val="24"/>
        </w:rPr>
        <w:t>in</w:t>
      </w:r>
      <w:r w:rsidRPr="002549E3">
        <w:rPr>
          <w:rFonts w:ascii="Times New Roman" w:hAnsi="Times New Roman" w:cs="Times New Roman"/>
          <w:sz w:val="24"/>
          <w:szCs w:val="24"/>
        </w:rPr>
        <w:t>de</w:t>
      </w:r>
      <w:r>
        <w:rPr>
          <w:rFonts w:ascii="Times New Roman" w:hAnsi="Times New Roman" w:cs="Times New Roman"/>
          <w:sz w:val="24"/>
          <w:szCs w:val="24"/>
        </w:rPr>
        <w:t>,</w:t>
      </w:r>
      <w:r w:rsidRPr="002549E3">
        <w:rPr>
          <w:rFonts w:ascii="Times New Roman" w:hAnsi="Times New Roman" w:cs="Times New Roman"/>
          <w:sz w:val="24"/>
          <w:szCs w:val="24"/>
        </w:rPr>
        <w:t xml:space="preserve"> </w:t>
      </w:r>
      <w:proofErr w:type="gramStart"/>
      <w:r w:rsidRPr="002549E3">
        <w:rPr>
          <w:rFonts w:ascii="Times New Roman" w:hAnsi="Times New Roman" w:cs="Times New Roman"/>
          <w:sz w:val="24"/>
          <w:szCs w:val="24"/>
        </w:rPr>
        <w:t>konsantrasyon</w:t>
      </w:r>
      <w:proofErr w:type="gramEnd"/>
      <w:r w:rsidRPr="002549E3">
        <w:rPr>
          <w:rFonts w:ascii="Times New Roman" w:hAnsi="Times New Roman" w:cs="Times New Roman"/>
          <w:sz w:val="24"/>
          <w:szCs w:val="24"/>
        </w:rPr>
        <w:t>-aktivite/ bağlanma ilişki</w:t>
      </w:r>
      <w:r>
        <w:rPr>
          <w:rFonts w:ascii="Times New Roman" w:hAnsi="Times New Roman" w:cs="Times New Roman"/>
          <w:sz w:val="24"/>
          <w:szCs w:val="24"/>
        </w:rPr>
        <w:t>leri</w:t>
      </w:r>
      <w:r w:rsidRPr="002549E3">
        <w:rPr>
          <w:rFonts w:ascii="Times New Roman" w:hAnsi="Times New Roman" w:cs="Times New Roman"/>
          <w:sz w:val="24"/>
          <w:szCs w:val="24"/>
        </w:rPr>
        <w:t xml:space="preserve"> </w:t>
      </w:r>
      <w:r>
        <w:rPr>
          <w:rFonts w:ascii="Times New Roman" w:hAnsi="Times New Roman" w:cs="Times New Roman"/>
          <w:sz w:val="24"/>
          <w:szCs w:val="24"/>
        </w:rPr>
        <w:t>potansiyel farklılıkların en duyarlı şekilde tespit edileceği</w:t>
      </w:r>
      <w:r w:rsidRPr="002549E3">
        <w:rPr>
          <w:rFonts w:ascii="Times New Roman" w:hAnsi="Times New Roman" w:cs="Times New Roman"/>
          <w:sz w:val="24"/>
          <w:szCs w:val="24"/>
        </w:rPr>
        <w:t xml:space="preserve"> konsantrasyon aralıklarında</w:t>
      </w:r>
      <w:r w:rsidR="00150445">
        <w:rPr>
          <w:rFonts w:ascii="Times New Roman" w:hAnsi="Times New Roman" w:cs="Times New Roman"/>
          <w:sz w:val="24"/>
          <w:szCs w:val="24"/>
        </w:rPr>
        <w:t xml:space="preserve"> </w:t>
      </w:r>
      <w:r w:rsidRPr="002549E3">
        <w:rPr>
          <w:rFonts w:ascii="Times New Roman" w:hAnsi="Times New Roman" w:cs="Times New Roman"/>
          <w:sz w:val="24"/>
          <w:szCs w:val="24"/>
        </w:rPr>
        <w:t>karşılaştır</w:t>
      </w:r>
      <w:r>
        <w:rPr>
          <w:rFonts w:ascii="Times New Roman" w:hAnsi="Times New Roman" w:cs="Times New Roman"/>
          <w:sz w:val="24"/>
          <w:szCs w:val="24"/>
        </w:rPr>
        <w:t>ıl</w:t>
      </w:r>
      <w:r w:rsidRPr="002549E3">
        <w:rPr>
          <w:rFonts w:ascii="Times New Roman" w:hAnsi="Times New Roman" w:cs="Times New Roman"/>
          <w:sz w:val="24"/>
          <w:szCs w:val="24"/>
        </w:rPr>
        <w:t>malı</w:t>
      </w:r>
      <w:r>
        <w:rPr>
          <w:rFonts w:ascii="Times New Roman" w:hAnsi="Times New Roman" w:cs="Times New Roman"/>
          <w:sz w:val="24"/>
          <w:szCs w:val="24"/>
        </w:rPr>
        <w:t>dır.</w:t>
      </w:r>
    </w:p>
    <w:p w14:paraId="63CD7463" w14:textId="77777777" w:rsidR="00336B38"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5</w:t>
      </w:r>
      <w:r w:rsidRPr="002549E3">
        <w:rPr>
          <w:rFonts w:ascii="Times New Roman" w:hAnsi="Times New Roman" w:cs="Times New Roman"/>
          <w:sz w:val="24"/>
          <w:szCs w:val="24"/>
        </w:rPr>
        <w:t>) Çalışmalar</w:t>
      </w:r>
      <w:r>
        <w:rPr>
          <w:rFonts w:ascii="Times New Roman" w:hAnsi="Times New Roman" w:cs="Times New Roman"/>
          <w:sz w:val="24"/>
          <w:szCs w:val="24"/>
        </w:rPr>
        <w:t>,</w:t>
      </w:r>
      <w:r w:rsidRPr="002549E3">
        <w:rPr>
          <w:rFonts w:ascii="Times New Roman" w:hAnsi="Times New Roman" w:cs="Times New Roman"/>
          <w:sz w:val="24"/>
          <w:szCs w:val="24"/>
        </w:rPr>
        <w:t xml:space="preserve"> klinik kullanım </w:t>
      </w:r>
      <w:r>
        <w:rPr>
          <w:rFonts w:ascii="Times New Roman" w:hAnsi="Times New Roman" w:cs="Times New Roman"/>
          <w:sz w:val="24"/>
          <w:szCs w:val="24"/>
        </w:rPr>
        <w:t xml:space="preserve">için geliştirilen </w:t>
      </w:r>
      <w:r w:rsidRPr="002549E3">
        <w:rPr>
          <w:rFonts w:ascii="Times New Roman" w:hAnsi="Times New Roman" w:cs="Times New Roman"/>
          <w:sz w:val="24"/>
          <w:szCs w:val="24"/>
        </w:rPr>
        <w:t xml:space="preserve">referans ve </w:t>
      </w:r>
      <w:proofErr w:type="spellStart"/>
      <w:r w:rsidRPr="002549E3">
        <w:rPr>
          <w:rFonts w:ascii="Times New Roman" w:hAnsi="Times New Roman" w:cs="Times New Roman"/>
          <w:sz w:val="24"/>
          <w:szCs w:val="24"/>
        </w:rPr>
        <w:t>biyobenzer</w:t>
      </w:r>
      <w:proofErr w:type="spellEnd"/>
      <w:r w:rsidRPr="002549E3">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549E3">
        <w:rPr>
          <w:rFonts w:ascii="Times New Roman" w:hAnsi="Times New Roman" w:cs="Times New Roman"/>
          <w:sz w:val="24"/>
          <w:szCs w:val="24"/>
        </w:rPr>
        <w:t>üründen yeterli sayıda seriden örnek ile gerçekleştirilmelidir. Kullanılan yöntem ve seriler arasındaki farklılık, örnek sayısını belirlemede etkili</w:t>
      </w:r>
      <w:r>
        <w:rPr>
          <w:rFonts w:ascii="Times New Roman" w:hAnsi="Times New Roman" w:cs="Times New Roman"/>
          <w:sz w:val="24"/>
          <w:szCs w:val="24"/>
        </w:rPr>
        <w:t xml:space="preserve"> olacaktır</w:t>
      </w:r>
      <w:r w:rsidRPr="002549E3">
        <w:rPr>
          <w:rFonts w:ascii="Times New Roman" w:hAnsi="Times New Roman" w:cs="Times New Roman"/>
          <w:sz w:val="24"/>
          <w:szCs w:val="24"/>
        </w:rPr>
        <w:t xml:space="preserve">. Referans </w:t>
      </w:r>
      <w:r>
        <w:rPr>
          <w:rFonts w:ascii="Times New Roman" w:hAnsi="Times New Roman" w:cs="Times New Roman"/>
          <w:sz w:val="24"/>
          <w:szCs w:val="24"/>
        </w:rPr>
        <w:t xml:space="preserve">tıbbi </w:t>
      </w:r>
      <w:r w:rsidRPr="002549E3">
        <w:rPr>
          <w:rFonts w:ascii="Times New Roman" w:hAnsi="Times New Roman" w:cs="Times New Roman"/>
          <w:sz w:val="24"/>
          <w:szCs w:val="24"/>
        </w:rPr>
        <w:t xml:space="preserve">ürün ile </w:t>
      </w:r>
      <w:proofErr w:type="spellStart"/>
      <w:r w:rsidRPr="002549E3">
        <w:rPr>
          <w:rFonts w:ascii="Times New Roman" w:hAnsi="Times New Roman" w:cs="Times New Roman"/>
          <w:sz w:val="24"/>
          <w:szCs w:val="24"/>
        </w:rPr>
        <w:t>biyobenzer</w:t>
      </w:r>
      <w:proofErr w:type="spellEnd"/>
      <w:r w:rsidRPr="002549E3">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549E3">
        <w:rPr>
          <w:rFonts w:ascii="Times New Roman" w:hAnsi="Times New Roman" w:cs="Times New Roman"/>
          <w:sz w:val="24"/>
          <w:szCs w:val="24"/>
        </w:rPr>
        <w:t>ürünün karşılaştırılmasına yönelik olarak yapılan test sayıları</w:t>
      </w:r>
      <w:r>
        <w:rPr>
          <w:rFonts w:ascii="Times New Roman" w:hAnsi="Times New Roman" w:cs="Times New Roman"/>
          <w:sz w:val="24"/>
          <w:szCs w:val="24"/>
        </w:rPr>
        <w:t>,</w:t>
      </w:r>
      <w:r w:rsidRPr="002549E3">
        <w:rPr>
          <w:rFonts w:ascii="Times New Roman" w:hAnsi="Times New Roman" w:cs="Times New Roman"/>
          <w:sz w:val="24"/>
          <w:szCs w:val="24"/>
        </w:rPr>
        <w:t xml:space="preserve"> her iki ürünün benzerliğini göstermeye yeterli sayıda olmalıdır. </w:t>
      </w:r>
    </w:p>
    <w:p w14:paraId="5BF6DBAC" w14:textId="15D37CB7" w:rsidR="00336B38" w:rsidRPr="002549E3" w:rsidRDefault="00336B38" w:rsidP="00336B38">
      <w:pPr>
        <w:ind w:right="-567"/>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Biyobenzerliği</w:t>
      </w:r>
      <w:proofErr w:type="spellEnd"/>
      <w:r>
        <w:rPr>
          <w:rFonts w:ascii="Times New Roman" w:hAnsi="Times New Roman" w:cs="Times New Roman"/>
          <w:sz w:val="24"/>
          <w:szCs w:val="24"/>
        </w:rPr>
        <w:t xml:space="preserve"> kanıtlamaya yönelik </w:t>
      </w:r>
      <w:r w:rsidRPr="00456853">
        <w:rPr>
          <w:rFonts w:ascii="Times New Roman" w:hAnsi="Times New Roman" w:cs="Times New Roman"/>
          <w:i/>
          <w:sz w:val="24"/>
          <w:szCs w:val="24"/>
        </w:rPr>
        <w:t xml:space="preserve">in </w:t>
      </w:r>
      <w:proofErr w:type="spellStart"/>
      <w:r w:rsidRPr="00456853">
        <w:rPr>
          <w:rFonts w:ascii="Times New Roman" w:hAnsi="Times New Roman" w:cs="Times New Roman"/>
          <w:i/>
          <w:sz w:val="24"/>
          <w:szCs w:val="24"/>
        </w:rPr>
        <w:t>vitro</w:t>
      </w:r>
      <w:proofErr w:type="spellEnd"/>
      <w:r>
        <w:rPr>
          <w:rFonts w:ascii="Times New Roman" w:hAnsi="Times New Roman" w:cs="Times New Roman"/>
          <w:sz w:val="24"/>
          <w:szCs w:val="24"/>
        </w:rPr>
        <w:t xml:space="preserve"> çalışmalar toplu olarak,  </w:t>
      </w:r>
      <w:r w:rsidRPr="002549E3">
        <w:rPr>
          <w:rFonts w:ascii="Times New Roman" w:hAnsi="Times New Roman" w:cs="Times New Roman"/>
          <w:sz w:val="24"/>
          <w:szCs w:val="24"/>
        </w:rPr>
        <w:t xml:space="preserve"> </w:t>
      </w:r>
      <w:proofErr w:type="spellStart"/>
      <w:r>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 </w:t>
      </w:r>
      <w:r w:rsidRPr="002549E3">
        <w:rPr>
          <w:rFonts w:ascii="Times New Roman" w:hAnsi="Times New Roman" w:cs="Times New Roman"/>
          <w:sz w:val="24"/>
          <w:szCs w:val="24"/>
        </w:rPr>
        <w:t xml:space="preserve">ve referans </w:t>
      </w:r>
      <w:r>
        <w:rPr>
          <w:rFonts w:ascii="Times New Roman" w:hAnsi="Times New Roman" w:cs="Times New Roman"/>
          <w:sz w:val="24"/>
          <w:szCs w:val="24"/>
        </w:rPr>
        <w:t xml:space="preserve">tıbbi </w:t>
      </w:r>
      <w:r w:rsidRPr="002549E3">
        <w:rPr>
          <w:rFonts w:ascii="Times New Roman" w:hAnsi="Times New Roman" w:cs="Times New Roman"/>
          <w:sz w:val="24"/>
          <w:szCs w:val="24"/>
        </w:rPr>
        <w:t>ürün sınıfının klinik açıdan anlamlı olabilecek farmakoloj</w:t>
      </w:r>
      <w:r w:rsidR="00456853">
        <w:rPr>
          <w:rFonts w:ascii="Times New Roman" w:hAnsi="Times New Roman" w:cs="Times New Roman"/>
          <w:sz w:val="24"/>
          <w:szCs w:val="24"/>
        </w:rPr>
        <w:t xml:space="preserve">ik ve </w:t>
      </w:r>
      <w:proofErr w:type="spellStart"/>
      <w:r w:rsidR="00456853">
        <w:rPr>
          <w:rFonts w:ascii="Times New Roman" w:hAnsi="Times New Roman" w:cs="Times New Roman"/>
          <w:sz w:val="24"/>
          <w:szCs w:val="24"/>
        </w:rPr>
        <w:t>toksikolojik</w:t>
      </w:r>
      <w:proofErr w:type="spellEnd"/>
      <w:r w:rsidR="00456853">
        <w:rPr>
          <w:rFonts w:ascii="Times New Roman" w:hAnsi="Times New Roman" w:cs="Times New Roman"/>
          <w:sz w:val="24"/>
          <w:szCs w:val="24"/>
        </w:rPr>
        <w:t xml:space="preserve"> özellikleri</w:t>
      </w:r>
      <w:r>
        <w:rPr>
          <w:rFonts w:ascii="Times New Roman" w:hAnsi="Times New Roman" w:cs="Times New Roman"/>
          <w:sz w:val="24"/>
          <w:szCs w:val="24"/>
        </w:rPr>
        <w:t>nin tümünü</w:t>
      </w:r>
      <w:r w:rsidRPr="002549E3">
        <w:rPr>
          <w:rFonts w:ascii="Times New Roman" w:hAnsi="Times New Roman" w:cs="Times New Roman"/>
          <w:sz w:val="24"/>
          <w:szCs w:val="24"/>
        </w:rPr>
        <w:t xml:space="preserve"> kapsamalıdır.</w:t>
      </w:r>
      <w:r>
        <w:rPr>
          <w:rFonts w:ascii="Times New Roman" w:hAnsi="Times New Roman" w:cs="Times New Roman"/>
          <w:sz w:val="24"/>
          <w:szCs w:val="24"/>
        </w:rPr>
        <w:t xml:space="preserve"> </w:t>
      </w:r>
      <w:r w:rsidRPr="002549E3">
        <w:rPr>
          <w:rFonts w:ascii="Times New Roman" w:hAnsi="Times New Roman" w:cs="Times New Roman"/>
          <w:sz w:val="24"/>
          <w:szCs w:val="24"/>
        </w:rPr>
        <w:t xml:space="preserve">Başvuru sahibi, </w:t>
      </w:r>
      <w:r>
        <w:rPr>
          <w:rFonts w:ascii="Times New Roman" w:hAnsi="Times New Roman" w:cs="Times New Roman"/>
          <w:sz w:val="24"/>
          <w:szCs w:val="24"/>
        </w:rPr>
        <w:t xml:space="preserve">karşılaştırma çalışmalarında kullanılan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vitro</w:t>
      </w:r>
      <w:proofErr w:type="spellEnd"/>
      <w:r w:rsidRPr="002549E3">
        <w:rPr>
          <w:rFonts w:ascii="Times New Roman" w:hAnsi="Times New Roman" w:cs="Times New Roman"/>
          <w:sz w:val="24"/>
          <w:szCs w:val="24"/>
        </w:rPr>
        <w:t xml:space="preserve"> </w:t>
      </w:r>
      <w:r>
        <w:rPr>
          <w:rFonts w:ascii="Times New Roman" w:hAnsi="Times New Roman" w:cs="Times New Roman"/>
          <w:sz w:val="24"/>
          <w:szCs w:val="24"/>
        </w:rPr>
        <w:t xml:space="preserve">testlerin, </w:t>
      </w:r>
      <w:r w:rsidRPr="002549E3">
        <w:rPr>
          <w:rFonts w:ascii="Times New Roman" w:hAnsi="Times New Roman" w:cs="Times New Roman"/>
          <w:sz w:val="24"/>
          <w:szCs w:val="24"/>
        </w:rPr>
        <w:t>amaçlanan klinik durum</w:t>
      </w:r>
      <w:r>
        <w:rPr>
          <w:rFonts w:ascii="Times New Roman" w:hAnsi="Times New Roman" w:cs="Times New Roman"/>
          <w:sz w:val="24"/>
          <w:szCs w:val="24"/>
        </w:rPr>
        <w:t xml:space="preserve">u ne ölçüde yansıttığını/öngördüğünü </w:t>
      </w:r>
      <w:r w:rsidRPr="002549E3">
        <w:rPr>
          <w:rFonts w:ascii="Times New Roman" w:hAnsi="Times New Roman" w:cs="Times New Roman"/>
          <w:sz w:val="24"/>
          <w:szCs w:val="24"/>
        </w:rPr>
        <w:t xml:space="preserve">en güncel </w:t>
      </w:r>
      <w:r>
        <w:rPr>
          <w:rFonts w:ascii="Times New Roman" w:hAnsi="Times New Roman" w:cs="Times New Roman"/>
          <w:sz w:val="24"/>
          <w:szCs w:val="24"/>
        </w:rPr>
        <w:t>bilimsel veriler temelinde tartışmalıdır</w:t>
      </w:r>
      <w:r w:rsidRPr="002549E3">
        <w:rPr>
          <w:rFonts w:ascii="Times New Roman" w:hAnsi="Times New Roman" w:cs="Times New Roman"/>
          <w:sz w:val="24"/>
          <w:szCs w:val="24"/>
        </w:rPr>
        <w:t xml:space="preserve">.  </w:t>
      </w:r>
    </w:p>
    <w:p w14:paraId="285629EE" w14:textId="77777777" w:rsidR="00336B38" w:rsidRPr="001F447B" w:rsidRDefault="00336B38" w:rsidP="00336B38">
      <w:pPr>
        <w:spacing w:after="0" w:line="276" w:lineRule="auto"/>
        <w:jc w:val="both"/>
        <w:rPr>
          <w:rFonts w:ascii="Times New Roman" w:eastAsia="Calibri" w:hAnsi="Times New Roman" w:cs="Times New Roman"/>
          <w:b/>
          <w:sz w:val="24"/>
          <w:szCs w:val="24"/>
        </w:rPr>
      </w:pPr>
    </w:p>
    <w:p w14:paraId="0C935E24" w14:textId="77777777" w:rsidR="00336B38" w:rsidRPr="002549E3" w:rsidRDefault="00336B38" w:rsidP="00336B38">
      <w:pPr>
        <w:ind w:right="-567"/>
        <w:jc w:val="both"/>
        <w:rPr>
          <w:rFonts w:ascii="Times New Roman" w:hAnsi="Times New Roman" w:cs="Times New Roman"/>
          <w:b/>
          <w:sz w:val="24"/>
          <w:szCs w:val="24"/>
        </w:rPr>
      </w:pPr>
      <w:r w:rsidRPr="002549E3">
        <w:rPr>
          <w:rFonts w:ascii="Times New Roman" w:hAnsi="Times New Roman" w:cs="Times New Roman"/>
          <w:b/>
          <w:i/>
          <w:sz w:val="24"/>
          <w:szCs w:val="24"/>
        </w:rPr>
        <w:t xml:space="preserve">İn </w:t>
      </w:r>
      <w:proofErr w:type="spellStart"/>
      <w:proofErr w:type="gramStart"/>
      <w:r w:rsidRPr="002549E3">
        <w:rPr>
          <w:rFonts w:ascii="Times New Roman" w:hAnsi="Times New Roman" w:cs="Times New Roman"/>
          <w:b/>
          <w:i/>
          <w:sz w:val="24"/>
          <w:szCs w:val="24"/>
        </w:rPr>
        <w:t>Vivo</w:t>
      </w:r>
      <w:proofErr w:type="spellEnd"/>
      <w:r>
        <w:rPr>
          <w:rFonts w:ascii="Times New Roman" w:hAnsi="Times New Roman" w:cs="Times New Roman"/>
          <w:b/>
          <w:i/>
          <w:sz w:val="24"/>
          <w:szCs w:val="24"/>
        </w:rPr>
        <w:t xml:space="preserve"> </w:t>
      </w:r>
      <w:r w:rsidRPr="002549E3">
        <w:rPr>
          <w:rFonts w:ascii="Times New Roman" w:hAnsi="Times New Roman" w:cs="Times New Roman"/>
          <w:b/>
          <w:sz w:val="24"/>
          <w:szCs w:val="24"/>
        </w:rPr>
        <w:t xml:space="preserve"> Çalışma</w:t>
      </w:r>
      <w:proofErr w:type="gramEnd"/>
      <w:r w:rsidRPr="002549E3">
        <w:rPr>
          <w:rFonts w:ascii="Times New Roman" w:hAnsi="Times New Roman" w:cs="Times New Roman"/>
          <w:b/>
          <w:sz w:val="24"/>
          <w:szCs w:val="24"/>
        </w:rPr>
        <w:t xml:space="preserve">  Gerekliliğine  İlişkin Değerlendirme  Prensipleri  </w:t>
      </w:r>
    </w:p>
    <w:p w14:paraId="0C8F33EB" w14:textId="77777777" w:rsidR="00336B38" w:rsidRPr="00997944" w:rsidRDefault="00336B38" w:rsidP="00336B38">
      <w:pPr>
        <w:ind w:right="-567"/>
        <w:jc w:val="both"/>
        <w:rPr>
          <w:rFonts w:ascii="Times New Roman" w:hAnsi="Times New Roman" w:cs="Times New Roman"/>
          <w:b/>
          <w:sz w:val="24"/>
          <w:szCs w:val="24"/>
          <w:lang w:val="en-GB"/>
        </w:rPr>
      </w:pPr>
      <w:r w:rsidRPr="008C24BD">
        <w:rPr>
          <w:rFonts w:ascii="Times New Roman" w:hAnsi="Times New Roman" w:cs="Times New Roman"/>
          <w:b/>
          <w:sz w:val="24"/>
          <w:szCs w:val="24"/>
        </w:rPr>
        <w:t>MADDE 1</w:t>
      </w:r>
      <w:r>
        <w:rPr>
          <w:rFonts w:ascii="Times New Roman" w:hAnsi="Times New Roman" w:cs="Times New Roman"/>
          <w:b/>
          <w:sz w:val="24"/>
          <w:szCs w:val="24"/>
        </w:rPr>
        <w:t>6 -</w:t>
      </w:r>
      <w:r w:rsidRPr="002549E3">
        <w:rPr>
          <w:rFonts w:ascii="Times New Roman" w:hAnsi="Times New Roman" w:cs="Times New Roman"/>
          <w:sz w:val="24"/>
          <w:szCs w:val="24"/>
        </w:rPr>
        <w:t xml:space="preserve"> (1) </w:t>
      </w:r>
      <w:proofErr w:type="spellStart"/>
      <w:r w:rsidRPr="00642BC1">
        <w:rPr>
          <w:rFonts w:ascii="Times New Roman" w:hAnsi="Times New Roman" w:cs="Times New Roman"/>
          <w:sz w:val="24"/>
          <w:szCs w:val="24"/>
          <w:lang w:val="en-GB"/>
        </w:rPr>
        <w:t>Kalite</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çalışmaları</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kapsamında</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yapısal</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ve</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fonksiyonel</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benzerlik</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çalışmalarının</w:t>
      </w:r>
      <w:proofErr w:type="spellEnd"/>
      <w:r w:rsidRPr="00642BC1">
        <w:rPr>
          <w:rFonts w:ascii="Times New Roman" w:hAnsi="Times New Roman" w:cs="Times New Roman"/>
          <w:sz w:val="24"/>
          <w:szCs w:val="24"/>
          <w:lang w:val="en-GB"/>
        </w:rPr>
        <w:t xml:space="preserve"> </w:t>
      </w:r>
      <w:proofErr w:type="spellStart"/>
      <w:proofErr w:type="gramStart"/>
      <w:r w:rsidRPr="00642BC1">
        <w:rPr>
          <w:rFonts w:ascii="Times New Roman" w:hAnsi="Times New Roman" w:cs="Times New Roman"/>
          <w:sz w:val="24"/>
          <w:szCs w:val="24"/>
          <w:lang w:val="en-GB"/>
        </w:rPr>
        <w:t>tatminkar</w:t>
      </w:r>
      <w:proofErr w:type="spellEnd"/>
      <w:proofErr w:type="gram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bulunması</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geniş</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çaplı</w:t>
      </w:r>
      <w:proofErr w:type="spellEnd"/>
      <w:r w:rsidRPr="00642BC1">
        <w:rPr>
          <w:rFonts w:ascii="Times New Roman" w:hAnsi="Times New Roman" w:cs="Times New Roman"/>
          <w:sz w:val="24"/>
          <w:szCs w:val="24"/>
          <w:lang w:val="en-GB"/>
        </w:rPr>
        <w:t xml:space="preserve"> </w:t>
      </w:r>
      <w:r w:rsidRPr="002D7AED">
        <w:rPr>
          <w:rFonts w:ascii="Times New Roman" w:hAnsi="Times New Roman" w:cs="Times New Roman"/>
          <w:i/>
          <w:sz w:val="24"/>
          <w:szCs w:val="24"/>
          <w:lang w:val="en-GB"/>
        </w:rPr>
        <w:t xml:space="preserve">in vitro </w:t>
      </w:r>
      <w:proofErr w:type="spellStart"/>
      <w:r w:rsidRPr="00642BC1">
        <w:rPr>
          <w:rFonts w:ascii="Times New Roman" w:hAnsi="Times New Roman" w:cs="Times New Roman"/>
          <w:sz w:val="24"/>
          <w:szCs w:val="24"/>
          <w:lang w:val="en-GB"/>
        </w:rPr>
        <w:t>mekanistik</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çalışmalarla</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biyobenzerliğin</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güçlü</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bir</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şekilde</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gösterilmesi</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ve</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ilacın</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insanlara</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uygulanmasını</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engelleyebilecek</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bir</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durumun</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saptanamaması</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durumunda</w:t>
      </w:r>
      <w:proofErr w:type="spellEnd"/>
      <w:r w:rsidRPr="00642BC1">
        <w:rPr>
          <w:rFonts w:ascii="Times New Roman" w:hAnsi="Times New Roman" w:cs="Times New Roman"/>
          <w:sz w:val="24"/>
          <w:szCs w:val="24"/>
          <w:lang w:val="en-GB"/>
        </w:rPr>
        <w:t xml:space="preserve"> </w:t>
      </w:r>
      <w:r w:rsidRPr="006241EB">
        <w:rPr>
          <w:rFonts w:ascii="Times New Roman" w:hAnsi="Times New Roman" w:cs="Times New Roman"/>
          <w:i/>
          <w:sz w:val="24"/>
          <w:szCs w:val="24"/>
          <w:lang w:val="en-GB"/>
        </w:rPr>
        <w:t>in vivo</w:t>
      </w:r>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karşılaştırmalı</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hayvan</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çalışmalarına</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gereksinim</w:t>
      </w:r>
      <w:proofErr w:type="spellEnd"/>
      <w:r w:rsidRPr="00642BC1">
        <w:rPr>
          <w:rFonts w:ascii="Times New Roman" w:hAnsi="Times New Roman" w:cs="Times New Roman"/>
          <w:sz w:val="24"/>
          <w:szCs w:val="24"/>
          <w:lang w:val="en-GB"/>
        </w:rPr>
        <w:t xml:space="preserve"> </w:t>
      </w:r>
      <w:proofErr w:type="spellStart"/>
      <w:r w:rsidRPr="00642BC1">
        <w:rPr>
          <w:rFonts w:ascii="Times New Roman" w:hAnsi="Times New Roman" w:cs="Times New Roman"/>
          <w:sz w:val="24"/>
          <w:szCs w:val="24"/>
          <w:lang w:val="en-GB"/>
        </w:rPr>
        <w:t>duyulmayabilir</w:t>
      </w:r>
      <w:proofErr w:type="spellEnd"/>
      <w:r w:rsidRPr="00642BC1">
        <w:rPr>
          <w:rFonts w:ascii="Times New Roman" w:hAnsi="Times New Roman" w:cs="Times New Roman"/>
          <w:sz w:val="24"/>
          <w:szCs w:val="24"/>
          <w:lang w:val="en-GB"/>
        </w:rPr>
        <w:t>.</w:t>
      </w:r>
    </w:p>
    <w:p w14:paraId="6CC7719F" w14:textId="77777777" w:rsidR="00336B38" w:rsidRPr="002549E3" w:rsidRDefault="00336B38" w:rsidP="00336B38">
      <w:pPr>
        <w:ind w:right="-567"/>
        <w:jc w:val="both"/>
        <w:rPr>
          <w:rFonts w:ascii="Times New Roman" w:hAnsi="Times New Roman" w:cs="Times New Roman"/>
          <w:sz w:val="24"/>
          <w:szCs w:val="24"/>
        </w:rPr>
      </w:pPr>
      <w:r>
        <w:rPr>
          <w:rFonts w:ascii="Times New Roman" w:hAnsi="Times New Roman" w:cs="Times New Roman"/>
          <w:sz w:val="24"/>
          <w:szCs w:val="24"/>
        </w:rPr>
        <w:t xml:space="preserve">(2) Bununla birlikte, </w:t>
      </w:r>
      <w:proofErr w:type="spellStart"/>
      <w:proofErr w:type="gramStart"/>
      <w:r>
        <w:rPr>
          <w:rFonts w:ascii="Times New Roman" w:hAnsi="Times New Roman" w:cs="Times New Roman"/>
          <w:sz w:val="24"/>
          <w:szCs w:val="24"/>
        </w:rPr>
        <w:t>b</w:t>
      </w:r>
      <w:r w:rsidRPr="002549E3">
        <w:rPr>
          <w:rFonts w:ascii="Times New Roman" w:hAnsi="Times New Roman" w:cs="Times New Roman"/>
          <w:sz w:val="24"/>
          <w:szCs w:val="24"/>
        </w:rPr>
        <w:t>iyoteknolojik</w:t>
      </w:r>
      <w:proofErr w:type="spellEnd"/>
      <w:r w:rsidRPr="002549E3">
        <w:rPr>
          <w:rFonts w:ascii="Times New Roman" w:hAnsi="Times New Roman" w:cs="Times New Roman"/>
          <w:sz w:val="24"/>
          <w:szCs w:val="24"/>
        </w:rPr>
        <w:t xml:space="preserve">  ürünler</w:t>
      </w:r>
      <w:proofErr w:type="gramEnd"/>
      <w:r w:rsidRPr="002549E3">
        <w:rPr>
          <w:rFonts w:ascii="Times New Roman" w:hAnsi="Times New Roman" w:cs="Times New Roman"/>
          <w:sz w:val="24"/>
          <w:szCs w:val="24"/>
        </w:rPr>
        <w:t xml:space="preserve">  </w:t>
      </w:r>
      <w:r w:rsidRPr="000B5DBC">
        <w:rPr>
          <w:rFonts w:ascii="Times New Roman" w:hAnsi="Times New Roman" w:cs="Times New Roman"/>
          <w:i/>
          <w:sz w:val="24"/>
          <w:szCs w:val="24"/>
        </w:rPr>
        <w:t xml:space="preserve">in  </w:t>
      </w:r>
      <w:proofErr w:type="spellStart"/>
      <w:r w:rsidRPr="000B5DBC">
        <w:rPr>
          <w:rFonts w:ascii="Times New Roman" w:hAnsi="Times New Roman" w:cs="Times New Roman"/>
          <w:i/>
          <w:sz w:val="24"/>
          <w:szCs w:val="24"/>
        </w:rPr>
        <w:t>vitro</w:t>
      </w:r>
      <w:proofErr w:type="spellEnd"/>
      <w:r w:rsidRPr="002549E3">
        <w:rPr>
          <w:rFonts w:ascii="Times New Roman" w:hAnsi="Times New Roman" w:cs="Times New Roman"/>
          <w:sz w:val="24"/>
          <w:szCs w:val="24"/>
        </w:rPr>
        <w:t xml:space="preserve">  çalışmalarda belirlenemeyen  </w:t>
      </w:r>
      <w:r w:rsidRPr="000B5DBC">
        <w:rPr>
          <w:rFonts w:ascii="Times New Roman" w:hAnsi="Times New Roman" w:cs="Times New Roman"/>
          <w:i/>
          <w:sz w:val="24"/>
          <w:szCs w:val="24"/>
        </w:rPr>
        <w:t xml:space="preserve">in  </w:t>
      </w:r>
      <w:proofErr w:type="spellStart"/>
      <w:r w:rsidRPr="000B5DBC">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etkiler  oluşturabilir.  </w:t>
      </w:r>
      <w:r>
        <w:rPr>
          <w:rFonts w:ascii="Times New Roman" w:hAnsi="Times New Roman" w:cs="Times New Roman"/>
          <w:sz w:val="24"/>
          <w:szCs w:val="24"/>
        </w:rPr>
        <w:t xml:space="preserve">Bu tür durumlarda </w:t>
      </w:r>
      <w:proofErr w:type="spellStart"/>
      <w:r>
        <w:rPr>
          <w:rFonts w:ascii="Times New Roman" w:hAnsi="Times New Roman" w:cs="Times New Roman"/>
          <w:sz w:val="24"/>
          <w:szCs w:val="24"/>
        </w:rPr>
        <w:t>biyobenzerliğe</w:t>
      </w:r>
      <w:proofErr w:type="spellEnd"/>
      <w:r>
        <w:rPr>
          <w:rFonts w:ascii="Times New Roman" w:hAnsi="Times New Roman" w:cs="Times New Roman"/>
          <w:sz w:val="24"/>
          <w:szCs w:val="24"/>
        </w:rPr>
        <w:t xml:space="preserve"> ilişkin t</w:t>
      </w:r>
      <w:r w:rsidRPr="002549E3">
        <w:rPr>
          <w:rFonts w:ascii="Times New Roman" w:hAnsi="Times New Roman" w:cs="Times New Roman"/>
          <w:sz w:val="24"/>
          <w:szCs w:val="24"/>
        </w:rPr>
        <w:t xml:space="preserve">amamlayıcı veri sağlamak üzere uygun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çalışmalar gerekli olabilir. </w:t>
      </w:r>
    </w:p>
    <w:p w14:paraId="3A5EC3E4" w14:textId="77777777"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3</w:t>
      </w:r>
      <w:r w:rsidRPr="002549E3">
        <w:rPr>
          <w:rFonts w:ascii="Times New Roman" w:hAnsi="Times New Roman" w:cs="Times New Roman"/>
          <w:sz w:val="24"/>
          <w:szCs w:val="24"/>
        </w:rPr>
        <w:t xml:space="preserve">) Klinik dışı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çalışma sunulmadığı </w:t>
      </w:r>
      <w:proofErr w:type="gramStart"/>
      <w:r w:rsidRPr="002549E3">
        <w:rPr>
          <w:rFonts w:ascii="Times New Roman" w:hAnsi="Times New Roman" w:cs="Times New Roman"/>
          <w:sz w:val="24"/>
          <w:szCs w:val="24"/>
        </w:rPr>
        <w:t>taktirde</w:t>
      </w:r>
      <w:proofErr w:type="gramEnd"/>
      <w:r w:rsidRPr="002549E3">
        <w:rPr>
          <w:rFonts w:ascii="Times New Roman" w:hAnsi="Times New Roman" w:cs="Times New Roman"/>
          <w:sz w:val="24"/>
          <w:szCs w:val="24"/>
        </w:rPr>
        <w:t xml:space="preserve">, başvuru sahibi bunun gerekçesini belgelemelidir. Bu tür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çalışma gereksinimini belirlemede diğer etkenlerin </w:t>
      </w:r>
      <w:proofErr w:type="spellStart"/>
      <w:r w:rsidRPr="002549E3">
        <w:rPr>
          <w:rFonts w:ascii="Times New Roman" w:hAnsi="Times New Roman" w:cs="Times New Roman"/>
          <w:sz w:val="24"/>
          <w:szCs w:val="24"/>
        </w:rPr>
        <w:t>yanısıra</w:t>
      </w:r>
      <w:proofErr w:type="spellEnd"/>
      <w:r w:rsidRPr="002549E3">
        <w:rPr>
          <w:rFonts w:ascii="Times New Roman" w:hAnsi="Times New Roman" w:cs="Times New Roman"/>
          <w:sz w:val="24"/>
          <w:szCs w:val="24"/>
        </w:rPr>
        <w:t xml:space="preserve"> aşağıdaki etkenler de göz önünde bulundurulmalıdır;</w:t>
      </w:r>
    </w:p>
    <w:p w14:paraId="608DE7A7" w14:textId="59429D8B"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 xml:space="preserve"> </w:t>
      </w:r>
      <w:r w:rsidR="00CB22EB">
        <w:rPr>
          <w:rFonts w:ascii="Times New Roman" w:hAnsi="Times New Roman" w:cs="Times New Roman"/>
          <w:sz w:val="24"/>
          <w:szCs w:val="24"/>
        </w:rPr>
        <w:t xml:space="preserve">     a) </w:t>
      </w:r>
      <w:r w:rsidRPr="002549E3">
        <w:rPr>
          <w:rFonts w:ascii="Times New Roman" w:hAnsi="Times New Roman" w:cs="Times New Roman"/>
          <w:sz w:val="24"/>
          <w:szCs w:val="24"/>
        </w:rPr>
        <w:t xml:space="preserve">Referans </w:t>
      </w:r>
      <w:r>
        <w:rPr>
          <w:rFonts w:ascii="Times New Roman" w:hAnsi="Times New Roman" w:cs="Times New Roman"/>
          <w:sz w:val="24"/>
          <w:szCs w:val="24"/>
        </w:rPr>
        <w:t xml:space="preserve">tıbbi </w:t>
      </w:r>
      <w:r w:rsidRPr="002549E3">
        <w:rPr>
          <w:rFonts w:ascii="Times New Roman" w:hAnsi="Times New Roman" w:cs="Times New Roman"/>
          <w:sz w:val="24"/>
          <w:szCs w:val="24"/>
        </w:rPr>
        <w:t>üründe bulunmayan</w:t>
      </w:r>
      <w:r>
        <w:rPr>
          <w:rFonts w:ascii="Times New Roman" w:hAnsi="Times New Roman" w:cs="Times New Roman"/>
          <w:sz w:val="24"/>
          <w:szCs w:val="24"/>
        </w:rPr>
        <w:t>,</w:t>
      </w:r>
      <w:r w:rsidRPr="002549E3">
        <w:rPr>
          <w:rFonts w:ascii="Times New Roman" w:hAnsi="Times New Roman" w:cs="Times New Roman"/>
          <w:sz w:val="24"/>
          <w:szCs w:val="24"/>
        </w:rPr>
        <w:t xml:space="preserve"> kalite ilişkili testler sırasında saptanan farklılıklar</w:t>
      </w:r>
    </w:p>
    <w:p w14:paraId="3EFCEC1A" w14:textId="6BA2B83B" w:rsidR="00336B38" w:rsidRPr="002549E3" w:rsidRDefault="00CB22EB" w:rsidP="00336B38">
      <w:pPr>
        <w:ind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      b) </w:t>
      </w:r>
      <w:r w:rsidR="00336B38" w:rsidRPr="002549E3">
        <w:rPr>
          <w:rFonts w:ascii="Times New Roman" w:hAnsi="Times New Roman" w:cs="Times New Roman"/>
          <w:sz w:val="24"/>
          <w:szCs w:val="24"/>
        </w:rPr>
        <w:t xml:space="preserve">Referans </w:t>
      </w:r>
      <w:r w:rsidR="00336B38">
        <w:rPr>
          <w:rFonts w:ascii="Times New Roman" w:hAnsi="Times New Roman" w:cs="Times New Roman"/>
          <w:sz w:val="24"/>
          <w:szCs w:val="24"/>
        </w:rPr>
        <w:t xml:space="preserve">tıbbi </w:t>
      </w:r>
      <w:r w:rsidR="00336B38" w:rsidRPr="002549E3">
        <w:rPr>
          <w:rFonts w:ascii="Times New Roman" w:hAnsi="Times New Roman" w:cs="Times New Roman"/>
          <w:sz w:val="24"/>
          <w:szCs w:val="24"/>
        </w:rPr>
        <w:t xml:space="preserve">ürün ile </w:t>
      </w:r>
      <w:proofErr w:type="spellStart"/>
      <w:r w:rsidR="00336B38" w:rsidRPr="002549E3">
        <w:rPr>
          <w:rFonts w:ascii="Times New Roman" w:hAnsi="Times New Roman" w:cs="Times New Roman"/>
          <w:sz w:val="24"/>
          <w:szCs w:val="24"/>
        </w:rPr>
        <w:t>biyobenzer</w:t>
      </w:r>
      <w:proofErr w:type="spellEnd"/>
      <w:r w:rsidR="00336B38" w:rsidRPr="002549E3">
        <w:rPr>
          <w:rFonts w:ascii="Times New Roman" w:hAnsi="Times New Roman" w:cs="Times New Roman"/>
          <w:sz w:val="24"/>
          <w:szCs w:val="24"/>
        </w:rPr>
        <w:t xml:space="preserve"> </w:t>
      </w:r>
      <w:r w:rsidR="00336B38">
        <w:rPr>
          <w:rFonts w:ascii="Times New Roman" w:hAnsi="Times New Roman" w:cs="Times New Roman"/>
          <w:sz w:val="24"/>
          <w:szCs w:val="24"/>
        </w:rPr>
        <w:t xml:space="preserve">tıbbi </w:t>
      </w:r>
      <w:r w:rsidR="00336B38" w:rsidRPr="002549E3">
        <w:rPr>
          <w:rFonts w:ascii="Times New Roman" w:hAnsi="Times New Roman" w:cs="Times New Roman"/>
          <w:sz w:val="24"/>
          <w:szCs w:val="24"/>
        </w:rPr>
        <w:t xml:space="preserve">ürün arasında kalite farklılığına neden olabilecek </w:t>
      </w:r>
      <w:proofErr w:type="gramStart"/>
      <w:r w:rsidR="00336B38" w:rsidRPr="002549E3">
        <w:rPr>
          <w:rFonts w:ascii="Times New Roman" w:hAnsi="Times New Roman" w:cs="Times New Roman"/>
          <w:sz w:val="24"/>
          <w:szCs w:val="24"/>
        </w:rPr>
        <w:t>kantitatif</w:t>
      </w:r>
      <w:proofErr w:type="gramEnd"/>
      <w:r w:rsidR="00336B38" w:rsidRPr="002549E3">
        <w:rPr>
          <w:rFonts w:ascii="Times New Roman" w:hAnsi="Times New Roman" w:cs="Times New Roman"/>
          <w:sz w:val="24"/>
          <w:szCs w:val="24"/>
        </w:rPr>
        <w:t xml:space="preserve"> değişiklikler </w:t>
      </w:r>
    </w:p>
    <w:p w14:paraId="07FA73A5" w14:textId="5B118274" w:rsidR="00336B38" w:rsidRPr="002549E3" w:rsidRDefault="00CB22EB" w:rsidP="00336B38">
      <w:pPr>
        <w:ind w:right="-567"/>
        <w:jc w:val="both"/>
        <w:rPr>
          <w:rFonts w:ascii="Times New Roman" w:hAnsi="Times New Roman" w:cs="Times New Roman"/>
          <w:sz w:val="24"/>
          <w:szCs w:val="24"/>
        </w:rPr>
      </w:pPr>
      <w:r>
        <w:rPr>
          <w:rFonts w:ascii="Times New Roman" w:hAnsi="Times New Roman" w:cs="Times New Roman"/>
          <w:sz w:val="24"/>
          <w:szCs w:val="24"/>
        </w:rPr>
        <w:t xml:space="preserve">      c) </w:t>
      </w:r>
      <w:r w:rsidR="00336B38" w:rsidRPr="002549E3">
        <w:rPr>
          <w:rFonts w:ascii="Times New Roman" w:hAnsi="Times New Roman" w:cs="Times New Roman"/>
          <w:sz w:val="24"/>
          <w:szCs w:val="24"/>
        </w:rPr>
        <w:t xml:space="preserve">Referans </w:t>
      </w:r>
      <w:r w:rsidR="00336B38">
        <w:rPr>
          <w:rFonts w:ascii="Times New Roman" w:hAnsi="Times New Roman" w:cs="Times New Roman"/>
          <w:sz w:val="24"/>
          <w:szCs w:val="24"/>
        </w:rPr>
        <w:t xml:space="preserve">tıbbi </w:t>
      </w:r>
      <w:r w:rsidR="00336B38" w:rsidRPr="002549E3">
        <w:rPr>
          <w:rFonts w:ascii="Times New Roman" w:hAnsi="Times New Roman" w:cs="Times New Roman"/>
          <w:sz w:val="24"/>
          <w:szCs w:val="24"/>
        </w:rPr>
        <w:t xml:space="preserve">ürün ile </w:t>
      </w:r>
      <w:proofErr w:type="spellStart"/>
      <w:r w:rsidR="00336B38" w:rsidRPr="002549E3">
        <w:rPr>
          <w:rFonts w:ascii="Times New Roman" w:hAnsi="Times New Roman" w:cs="Times New Roman"/>
          <w:sz w:val="24"/>
          <w:szCs w:val="24"/>
        </w:rPr>
        <w:t>biyobenzer</w:t>
      </w:r>
      <w:proofErr w:type="spellEnd"/>
      <w:r w:rsidR="00336B38" w:rsidRPr="002549E3">
        <w:rPr>
          <w:rFonts w:ascii="Times New Roman" w:hAnsi="Times New Roman" w:cs="Times New Roman"/>
          <w:sz w:val="24"/>
          <w:szCs w:val="24"/>
        </w:rPr>
        <w:t xml:space="preserve"> </w:t>
      </w:r>
      <w:r w:rsidR="00336B38">
        <w:rPr>
          <w:rFonts w:ascii="Times New Roman" w:hAnsi="Times New Roman" w:cs="Times New Roman"/>
          <w:sz w:val="24"/>
          <w:szCs w:val="24"/>
        </w:rPr>
        <w:t xml:space="preserve">tıbbi </w:t>
      </w:r>
      <w:r w:rsidR="00336B38" w:rsidRPr="002549E3">
        <w:rPr>
          <w:rFonts w:ascii="Times New Roman" w:hAnsi="Times New Roman" w:cs="Times New Roman"/>
          <w:sz w:val="24"/>
          <w:szCs w:val="24"/>
        </w:rPr>
        <w:t xml:space="preserve">ürün arasındaki </w:t>
      </w:r>
      <w:proofErr w:type="spellStart"/>
      <w:r w:rsidR="00336B38" w:rsidRPr="002549E3">
        <w:rPr>
          <w:rFonts w:ascii="Times New Roman" w:hAnsi="Times New Roman" w:cs="Times New Roman"/>
          <w:sz w:val="24"/>
          <w:szCs w:val="24"/>
        </w:rPr>
        <w:t>formülasyon</w:t>
      </w:r>
      <w:proofErr w:type="spellEnd"/>
      <w:r w:rsidR="00336B38" w:rsidRPr="002549E3">
        <w:rPr>
          <w:rFonts w:ascii="Times New Roman" w:hAnsi="Times New Roman" w:cs="Times New Roman"/>
          <w:sz w:val="24"/>
          <w:szCs w:val="24"/>
        </w:rPr>
        <w:t xml:space="preserve"> farklılığı</w:t>
      </w:r>
    </w:p>
    <w:p w14:paraId="2E333E62" w14:textId="7E2D7940" w:rsidR="00336B38" w:rsidRPr="002549E3" w:rsidRDefault="00336B38" w:rsidP="00336B38">
      <w:pPr>
        <w:ind w:right="-567"/>
        <w:jc w:val="both"/>
        <w:rPr>
          <w:rFonts w:ascii="Times New Roman" w:hAnsi="Times New Roman" w:cs="Times New Roman"/>
          <w:sz w:val="24"/>
          <w:szCs w:val="24"/>
        </w:rPr>
      </w:pPr>
      <w:r w:rsidRPr="001F447B">
        <w:rPr>
          <w:rFonts w:ascii="Times New Roman" w:hAnsi="Times New Roman" w:cs="Times New Roman"/>
          <w:sz w:val="24"/>
          <w:szCs w:val="24"/>
        </w:rPr>
        <w:t xml:space="preserve">Bu </w:t>
      </w:r>
      <w:r w:rsidRPr="002549E3">
        <w:rPr>
          <w:rFonts w:ascii="Times New Roman" w:hAnsi="Times New Roman" w:cs="Times New Roman"/>
          <w:sz w:val="24"/>
          <w:szCs w:val="24"/>
        </w:rPr>
        <w:t xml:space="preserve">etkenlerin her </w:t>
      </w:r>
      <w:proofErr w:type="gramStart"/>
      <w:r w:rsidRPr="002549E3">
        <w:rPr>
          <w:rFonts w:ascii="Times New Roman" w:hAnsi="Times New Roman" w:cs="Times New Roman"/>
          <w:sz w:val="24"/>
          <w:szCs w:val="24"/>
        </w:rPr>
        <w:t xml:space="preserve">biri  </w:t>
      </w:r>
      <w:r w:rsidRPr="00CB22EB">
        <w:rPr>
          <w:rFonts w:ascii="Times New Roman" w:hAnsi="Times New Roman" w:cs="Times New Roman"/>
          <w:i/>
          <w:sz w:val="24"/>
          <w:szCs w:val="24"/>
        </w:rPr>
        <w:t>in</w:t>
      </w:r>
      <w:proofErr w:type="gramEnd"/>
      <w:r w:rsidRPr="00CB22EB">
        <w:rPr>
          <w:rFonts w:ascii="Times New Roman" w:hAnsi="Times New Roman" w:cs="Times New Roman"/>
          <w:i/>
          <w:sz w:val="24"/>
          <w:szCs w:val="24"/>
        </w:rPr>
        <w:t xml:space="preserve">  </w:t>
      </w:r>
      <w:proofErr w:type="spellStart"/>
      <w:r w:rsidRPr="00CB22EB">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çalışmayı  zorunlu  kılmaz,  ancak  </w:t>
      </w:r>
      <w:r w:rsidRPr="00CB22EB">
        <w:rPr>
          <w:rFonts w:ascii="Times New Roman" w:hAnsi="Times New Roman" w:cs="Times New Roman"/>
          <w:i/>
          <w:sz w:val="24"/>
          <w:szCs w:val="24"/>
        </w:rPr>
        <w:t xml:space="preserve">in  </w:t>
      </w:r>
      <w:proofErr w:type="spellStart"/>
      <w:r w:rsidRPr="00CB22EB">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çalışma   gerekliliğini  değerlendirirken  </w:t>
      </w:r>
      <w:r w:rsidR="00832DAA">
        <w:rPr>
          <w:rFonts w:ascii="Times New Roman" w:hAnsi="Times New Roman" w:cs="Times New Roman"/>
          <w:sz w:val="24"/>
          <w:szCs w:val="24"/>
        </w:rPr>
        <w:t xml:space="preserve">bu etkenler </w:t>
      </w:r>
      <w:r w:rsidRPr="002549E3">
        <w:rPr>
          <w:rFonts w:ascii="Times New Roman" w:hAnsi="Times New Roman" w:cs="Times New Roman"/>
          <w:sz w:val="24"/>
          <w:szCs w:val="24"/>
        </w:rPr>
        <w:t>bir</w:t>
      </w:r>
      <w:r w:rsidRPr="001F447B">
        <w:rPr>
          <w:rFonts w:ascii="Times New Roman" w:hAnsi="Times New Roman" w:cs="Times New Roman"/>
          <w:sz w:val="24"/>
          <w:szCs w:val="24"/>
        </w:rPr>
        <w:t xml:space="preserve"> </w:t>
      </w:r>
      <w:r w:rsidRPr="002549E3">
        <w:rPr>
          <w:rFonts w:ascii="Times New Roman" w:hAnsi="Times New Roman" w:cs="Times New Roman"/>
          <w:sz w:val="24"/>
          <w:szCs w:val="24"/>
        </w:rPr>
        <w:t xml:space="preserve">arada göz  önünde  bulundurulmalı  ve  değerlendirilmelidir.    </w:t>
      </w:r>
    </w:p>
    <w:p w14:paraId="7EED0D57" w14:textId="1FA6ADF8" w:rsidR="00336B38" w:rsidRPr="002549E3" w:rsidRDefault="00336B38" w:rsidP="00336B38">
      <w:pPr>
        <w:ind w:right="-567"/>
        <w:jc w:val="both"/>
        <w:rPr>
          <w:rFonts w:ascii="Times New Roman" w:hAnsi="Times New Roman" w:cs="Times New Roman"/>
          <w:sz w:val="24"/>
          <w:szCs w:val="24"/>
        </w:rPr>
      </w:pPr>
      <w:r w:rsidRPr="001F447B">
        <w:rPr>
          <w:rFonts w:ascii="Times New Roman" w:hAnsi="Times New Roman" w:cs="Times New Roman"/>
          <w:sz w:val="24"/>
          <w:szCs w:val="24"/>
        </w:rPr>
        <w:t>(</w:t>
      </w:r>
      <w:r>
        <w:rPr>
          <w:rFonts w:ascii="Times New Roman" w:hAnsi="Times New Roman" w:cs="Times New Roman"/>
          <w:sz w:val="24"/>
          <w:szCs w:val="24"/>
        </w:rPr>
        <w:t>4</w:t>
      </w:r>
      <w:r w:rsidRPr="001F447B">
        <w:rPr>
          <w:rFonts w:ascii="Times New Roman" w:hAnsi="Times New Roman" w:cs="Times New Roman"/>
          <w:sz w:val="24"/>
          <w:szCs w:val="24"/>
        </w:rPr>
        <w:t xml:space="preserve">)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vitro</w:t>
      </w:r>
      <w:proofErr w:type="spellEnd"/>
      <w:r w:rsidRPr="001F447B">
        <w:rPr>
          <w:rFonts w:ascii="Times New Roman" w:hAnsi="Times New Roman" w:cs="Times New Roman"/>
          <w:sz w:val="24"/>
          <w:szCs w:val="24"/>
        </w:rPr>
        <w:t xml:space="preserve"> karşılaştırma çalışmalarında alınan sonuçların tatminkar bulunması ve </w:t>
      </w:r>
      <w:r w:rsidRPr="008C24BD">
        <w:rPr>
          <w:rFonts w:ascii="Times New Roman" w:hAnsi="Times New Roman" w:cs="Times New Roman"/>
          <w:i/>
          <w:sz w:val="24"/>
          <w:szCs w:val="24"/>
        </w:rPr>
        <w:t xml:space="preserve">in </w:t>
      </w:r>
      <w:proofErr w:type="spellStart"/>
      <w:proofErr w:type="gramStart"/>
      <w:r w:rsidRPr="008C24BD">
        <w:rPr>
          <w:rFonts w:ascii="Times New Roman" w:hAnsi="Times New Roman" w:cs="Times New Roman"/>
          <w:i/>
          <w:sz w:val="24"/>
          <w:szCs w:val="24"/>
        </w:rPr>
        <w:t>vivo</w:t>
      </w:r>
      <w:proofErr w:type="spellEnd"/>
      <w:r w:rsidR="00963D5F">
        <w:rPr>
          <w:rFonts w:ascii="Times New Roman" w:hAnsi="Times New Roman" w:cs="Times New Roman"/>
          <w:sz w:val="24"/>
          <w:szCs w:val="24"/>
        </w:rPr>
        <w:t xml:space="preserve"> </w:t>
      </w:r>
      <w:r w:rsidRPr="002549E3">
        <w:rPr>
          <w:rFonts w:ascii="Times New Roman" w:hAnsi="Times New Roman" w:cs="Times New Roman"/>
          <w:sz w:val="24"/>
          <w:szCs w:val="24"/>
        </w:rPr>
        <w:t xml:space="preserve"> çalışma</w:t>
      </w:r>
      <w:proofErr w:type="gramEnd"/>
      <w:r w:rsidRPr="002549E3">
        <w:rPr>
          <w:rFonts w:ascii="Times New Roman" w:hAnsi="Times New Roman" w:cs="Times New Roman"/>
          <w:sz w:val="24"/>
          <w:szCs w:val="24"/>
        </w:rPr>
        <w:t xml:space="preserve">  yapma  zorunluluğunun  olmadığına  kanaat  getirilmesi  veya  yukardaki  etkenlerin   doğrudan  insan  çalışmalarına  geçişi  engellemeyeceği  görüşü  oluşması  durumunda,  </w:t>
      </w:r>
      <w:r w:rsidRPr="00963D5F">
        <w:rPr>
          <w:rFonts w:ascii="Times New Roman" w:hAnsi="Times New Roman" w:cs="Times New Roman"/>
          <w:i/>
          <w:sz w:val="24"/>
          <w:szCs w:val="24"/>
        </w:rPr>
        <w:t xml:space="preserve">in   </w:t>
      </w:r>
      <w:proofErr w:type="spellStart"/>
      <w:r w:rsidRPr="00963D5F">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hayvan  çalışmasının  gerekli  olmayacağı  düşünülebilir.   </w:t>
      </w:r>
    </w:p>
    <w:p w14:paraId="6725B757" w14:textId="77777777"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5</w:t>
      </w:r>
      <w:r w:rsidRPr="002549E3">
        <w:rPr>
          <w:rFonts w:ascii="Times New Roman" w:hAnsi="Times New Roman" w:cs="Times New Roman"/>
          <w:sz w:val="24"/>
          <w:szCs w:val="24"/>
        </w:rPr>
        <w:t xml:space="preserve">) Kalite </w:t>
      </w:r>
      <w:proofErr w:type="gramStart"/>
      <w:r w:rsidRPr="002549E3">
        <w:rPr>
          <w:rFonts w:ascii="Times New Roman" w:hAnsi="Times New Roman" w:cs="Times New Roman"/>
          <w:sz w:val="24"/>
          <w:szCs w:val="24"/>
        </w:rPr>
        <w:t xml:space="preserve">ve  </w:t>
      </w:r>
      <w:r w:rsidRPr="00F17BA2">
        <w:rPr>
          <w:rFonts w:ascii="Times New Roman" w:hAnsi="Times New Roman" w:cs="Times New Roman"/>
          <w:i/>
          <w:sz w:val="24"/>
          <w:szCs w:val="24"/>
        </w:rPr>
        <w:t>in</w:t>
      </w:r>
      <w:proofErr w:type="gramEnd"/>
      <w:r w:rsidRPr="00F17BA2">
        <w:rPr>
          <w:rFonts w:ascii="Times New Roman" w:hAnsi="Times New Roman" w:cs="Times New Roman"/>
          <w:i/>
          <w:sz w:val="24"/>
          <w:szCs w:val="24"/>
        </w:rPr>
        <w:t xml:space="preserve">  </w:t>
      </w:r>
      <w:proofErr w:type="spellStart"/>
      <w:r w:rsidRPr="00F17BA2">
        <w:rPr>
          <w:rFonts w:ascii="Times New Roman" w:hAnsi="Times New Roman" w:cs="Times New Roman"/>
          <w:i/>
          <w:sz w:val="24"/>
          <w:szCs w:val="24"/>
        </w:rPr>
        <w:t>vitro</w:t>
      </w:r>
      <w:proofErr w:type="spellEnd"/>
      <w:r w:rsidRPr="002549E3">
        <w:rPr>
          <w:rFonts w:ascii="Times New Roman" w:hAnsi="Times New Roman" w:cs="Times New Roman"/>
          <w:sz w:val="24"/>
          <w:szCs w:val="24"/>
        </w:rPr>
        <w:t xml:space="preserve">  çalışmalarda </w:t>
      </w:r>
      <w:proofErr w:type="spellStart"/>
      <w:r w:rsidRPr="002549E3">
        <w:rPr>
          <w:rFonts w:ascii="Times New Roman" w:hAnsi="Times New Roman" w:cs="Times New Roman"/>
          <w:sz w:val="24"/>
          <w:szCs w:val="24"/>
        </w:rPr>
        <w:t>farmakokinetik</w:t>
      </w:r>
      <w:proofErr w:type="spellEnd"/>
      <w:r w:rsidRPr="002549E3">
        <w:rPr>
          <w:rFonts w:ascii="Times New Roman" w:hAnsi="Times New Roman" w:cs="Times New Roman"/>
          <w:sz w:val="24"/>
          <w:szCs w:val="24"/>
        </w:rPr>
        <w:t xml:space="preserve"> (FK) ve/veya  </w:t>
      </w:r>
      <w:proofErr w:type="spellStart"/>
      <w:r w:rsidRPr="002549E3">
        <w:rPr>
          <w:rFonts w:ascii="Times New Roman" w:hAnsi="Times New Roman" w:cs="Times New Roman"/>
          <w:sz w:val="24"/>
          <w:szCs w:val="24"/>
        </w:rPr>
        <w:t>biyodağılımı</w:t>
      </w:r>
      <w:proofErr w:type="spellEnd"/>
      <w:r w:rsidRPr="002549E3">
        <w:rPr>
          <w:rFonts w:ascii="Times New Roman" w:hAnsi="Times New Roman" w:cs="Times New Roman"/>
          <w:sz w:val="24"/>
          <w:szCs w:val="24"/>
        </w:rPr>
        <w:t xml:space="preserve">  etkileyebilecek  etkenler  (</w:t>
      </w:r>
      <w:proofErr w:type="spellStart"/>
      <w:r w:rsidRPr="002549E3">
        <w:rPr>
          <w:rFonts w:ascii="Times New Roman" w:hAnsi="Times New Roman" w:cs="Times New Roman"/>
          <w:sz w:val="24"/>
          <w:szCs w:val="24"/>
        </w:rPr>
        <w:t>örn</w:t>
      </w:r>
      <w:proofErr w:type="spellEnd"/>
      <w:r w:rsidRPr="002549E3">
        <w:rPr>
          <w:rFonts w:ascii="Times New Roman" w:hAnsi="Times New Roman" w:cs="Times New Roman"/>
          <w:sz w:val="24"/>
          <w:szCs w:val="24"/>
        </w:rPr>
        <w:t xml:space="preserve">:   artmış </w:t>
      </w:r>
      <w:proofErr w:type="spellStart"/>
      <w:r w:rsidRPr="002549E3">
        <w:rPr>
          <w:rFonts w:ascii="Times New Roman" w:hAnsi="Times New Roman" w:cs="Times New Roman"/>
          <w:sz w:val="24"/>
          <w:szCs w:val="24"/>
        </w:rPr>
        <w:t>glikozilasyon</w:t>
      </w:r>
      <w:proofErr w:type="spellEnd"/>
      <w:r w:rsidRPr="002549E3">
        <w:rPr>
          <w:rFonts w:ascii="Times New Roman" w:hAnsi="Times New Roman" w:cs="Times New Roman"/>
          <w:sz w:val="24"/>
          <w:szCs w:val="24"/>
        </w:rPr>
        <w:t xml:space="preserve">)  yeterli  bir  şekilde  </w:t>
      </w:r>
      <w:proofErr w:type="spellStart"/>
      <w:r w:rsidRPr="002549E3">
        <w:rPr>
          <w:rFonts w:ascii="Times New Roman" w:hAnsi="Times New Roman" w:cs="Times New Roman"/>
          <w:sz w:val="24"/>
          <w:szCs w:val="24"/>
        </w:rPr>
        <w:t>karekterize</w:t>
      </w:r>
      <w:proofErr w:type="spellEnd"/>
      <w:r w:rsidRPr="002549E3">
        <w:rPr>
          <w:rFonts w:ascii="Times New Roman" w:hAnsi="Times New Roman" w:cs="Times New Roman"/>
          <w:sz w:val="24"/>
          <w:szCs w:val="24"/>
        </w:rPr>
        <w:t xml:space="preserve">  edilemiyorsa,  </w:t>
      </w:r>
      <w:r w:rsidRPr="00EE213D">
        <w:rPr>
          <w:rFonts w:ascii="Times New Roman" w:hAnsi="Times New Roman" w:cs="Times New Roman"/>
          <w:i/>
          <w:sz w:val="24"/>
          <w:szCs w:val="24"/>
        </w:rPr>
        <w:t xml:space="preserve">in  </w:t>
      </w:r>
      <w:proofErr w:type="spellStart"/>
      <w:r w:rsidRPr="00EE213D">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çalışmalar  gerekli   olabilir.     </w:t>
      </w:r>
    </w:p>
    <w:p w14:paraId="2CF784CF" w14:textId="77777777"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6</w:t>
      </w:r>
      <w:r w:rsidRPr="002549E3">
        <w:rPr>
          <w:rFonts w:ascii="Times New Roman" w:hAnsi="Times New Roman" w:cs="Times New Roman"/>
          <w:sz w:val="24"/>
          <w:szCs w:val="24"/>
        </w:rPr>
        <w:t xml:space="preserve">) </w:t>
      </w:r>
      <w:proofErr w:type="gramStart"/>
      <w:r w:rsidRPr="003A01A6">
        <w:rPr>
          <w:rFonts w:ascii="Times New Roman" w:hAnsi="Times New Roman" w:cs="Times New Roman"/>
          <w:i/>
          <w:sz w:val="24"/>
          <w:szCs w:val="24"/>
        </w:rPr>
        <w:t xml:space="preserve">İn  </w:t>
      </w:r>
      <w:proofErr w:type="spellStart"/>
      <w:r w:rsidRPr="003A01A6">
        <w:rPr>
          <w:rFonts w:ascii="Times New Roman" w:hAnsi="Times New Roman" w:cs="Times New Roman"/>
          <w:i/>
          <w:sz w:val="24"/>
          <w:szCs w:val="24"/>
        </w:rPr>
        <w:t>vivo</w:t>
      </w:r>
      <w:proofErr w:type="spellEnd"/>
      <w:proofErr w:type="gramEnd"/>
      <w:r w:rsidRPr="002549E3">
        <w:rPr>
          <w:rFonts w:ascii="Times New Roman" w:hAnsi="Times New Roman" w:cs="Times New Roman"/>
          <w:sz w:val="24"/>
          <w:szCs w:val="24"/>
        </w:rPr>
        <w:t xml:space="preserve">  çalışmalar  için  klinik  olarak  geçerli  olacak  uygun  bir  hayvan  modeli  olmaması   durumunda,  özel hayvan modelleri (</w:t>
      </w:r>
      <w:proofErr w:type="spellStart"/>
      <w:r w:rsidRPr="002549E3">
        <w:rPr>
          <w:rFonts w:ascii="Times New Roman" w:hAnsi="Times New Roman" w:cs="Times New Roman"/>
          <w:sz w:val="24"/>
          <w:szCs w:val="24"/>
        </w:rPr>
        <w:t>transgenik</w:t>
      </w:r>
      <w:proofErr w:type="spellEnd"/>
      <w:r w:rsidRPr="002549E3">
        <w:rPr>
          <w:rFonts w:ascii="Times New Roman" w:hAnsi="Times New Roman" w:cs="Times New Roman"/>
          <w:sz w:val="24"/>
          <w:szCs w:val="24"/>
        </w:rPr>
        <w:t xml:space="preserve"> hayvanlar</w:t>
      </w:r>
      <w:r w:rsidRPr="001F447B">
        <w:rPr>
          <w:rFonts w:ascii="Times New Roman" w:hAnsi="Times New Roman" w:cs="Times New Roman"/>
          <w:sz w:val="24"/>
          <w:szCs w:val="24"/>
        </w:rPr>
        <w:t xml:space="preserve"> </w:t>
      </w:r>
      <w:proofErr w:type="spellStart"/>
      <w:r w:rsidRPr="001F447B">
        <w:rPr>
          <w:rFonts w:ascii="Times New Roman" w:hAnsi="Times New Roman" w:cs="Times New Roman"/>
          <w:sz w:val="24"/>
          <w:szCs w:val="24"/>
        </w:rPr>
        <w:t>vb</w:t>
      </w:r>
      <w:proofErr w:type="spellEnd"/>
      <w:r w:rsidRPr="002549E3">
        <w:rPr>
          <w:rFonts w:ascii="Times New Roman" w:hAnsi="Times New Roman" w:cs="Times New Roman"/>
          <w:sz w:val="24"/>
          <w:szCs w:val="24"/>
        </w:rPr>
        <w:t xml:space="preserve">) düşünülmelidir.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hayvan çalışmaları yapılamıyorsa başvuru sahibi potansiyel </w:t>
      </w:r>
      <w:proofErr w:type="gramStart"/>
      <w:r w:rsidRPr="002549E3">
        <w:rPr>
          <w:rFonts w:ascii="Times New Roman" w:hAnsi="Times New Roman" w:cs="Times New Roman"/>
          <w:sz w:val="24"/>
          <w:szCs w:val="24"/>
        </w:rPr>
        <w:t>riskleri  minimuma</w:t>
      </w:r>
      <w:proofErr w:type="gramEnd"/>
      <w:r w:rsidRPr="002549E3">
        <w:rPr>
          <w:rFonts w:ascii="Times New Roman" w:hAnsi="Times New Roman" w:cs="Times New Roman"/>
          <w:sz w:val="24"/>
          <w:szCs w:val="24"/>
        </w:rPr>
        <w:t xml:space="preserve">  indirecek  önlemlerle  insan   çalışmalarına  geçmeyi  seçebilir.  Bu durum dikkatlice irdelenmelidir ve insan çalışması kararında potansiyel riskleri azaltmak için her türlü önlem alınmalıdır. </w:t>
      </w:r>
    </w:p>
    <w:p w14:paraId="2EAECADF" w14:textId="77777777"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7</w:t>
      </w:r>
      <w:r w:rsidRPr="002549E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549E3">
        <w:rPr>
          <w:rFonts w:ascii="Times New Roman" w:hAnsi="Times New Roman" w:cs="Times New Roman"/>
          <w:sz w:val="24"/>
          <w:szCs w:val="24"/>
        </w:rPr>
        <w:t>Başvuru  sahibi</w:t>
      </w:r>
      <w:proofErr w:type="gramEnd"/>
      <w:r w:rsidRPr="002549E3">
        <w:rPr>
          <w:rFonts w:ascii="Times New Roman" w:hAnsi="Times New Roman" w:cs="Times New Roman"/>
          <w:sz w:val="24"/>
          <w:szCs w:val="24"/>
        </w:rPr>
        <w:t xml:space="preserve">  </w:t>
      </w:r>
      <w:r w:rsidRPr="003A01A6">
        <w:rPr>
          <w:rFonts w:ascii="Times New Roman" w:hAnsi="Times New Roman" w:cs="Times New Roman"/>
          <w:i/>
          <w:sz w:val="24"/>
          <w:szCs w:val="24"/>
        </w:rPr>
        <w:t xml:space="preserve">in  </w:t>
      </w:r>
      <w:proofErr w:type="spellStart"/>
      <w:r w:rsidRPr="003A01A6">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hayvan  çalışmaları  ile  ilgili  kararlarını  bilimsel  temelde   gerekçelendirmeli,  ihtiyaç  durumunda Kurum  ile  görüşerek  karara  varmalıdır</w:t>
      </w:r>
      <w:r w:rsidRPr="001F447B">
        <w:rPr>
          <w:rFonts w:ascii="Times New Roman" w:hAnsi="Times New Roman" w:cs="Times New Roman"/>
          <w:sz w:val="24"/>
          <w:szCs w:val="24"/>
        </w:rPr>
        <w:t>.</w:t>
      </w:r>
    </w:p>
    <w:p w14:paraId="02A9A668" w14:textId="77777777" w:rsidR="00336B38" w:rsidRPr="001F447B" w:rsidRDefault="00336B38" w:rsidP="00336B38">
      <w:pPr>
        <w:spacing w:after="0" w:line="276" w:lineRule="auto"/>
        <w:jc w:val="both"/>
        <w:rPr>
          <w:rFonts w:ascii="Times New Roman" w:eastAsia="Calibri" w:hAnsi="Times New Roman" w:cs="Times New Roman"/>
          <w:b/>
          <w:sz w:val="24"/>
          <w:szCs w:val="24"/>
        </w:rPr>
      </w:pPr>
    </w:p>
    <w:p w14:paraId="41618BA5" w14:textId="77777777" w:rsidR="00336B38" w:rsidRPr="002549E3" w:rsidRDefault="00336B38" w:rsidP="00336B38">
      <w:pPr>
        <w:ind w:right="-567"/>
        <w:jc w:val="both"/>
        <w:rPr>
          <w:rFonts w:ascii="Times New Roman" w:hAnsi="Times New Roman" w:cs="Times New Roman"/>
          <w:b/>
          <w:sz w:val="24"/>
          <w:szCs w:val="24"/>
        </w:rPr>
      </w:pPr>
      <w:r w:rsidRPr="002549E3">
        <w:rPr>
          <w:rFonts w:ascii="Times New Roman" w:hAnsi="Times New Roman" w:cs="Times New Roman"/>
          <w:b/>
          <w:i/>
          <w:sz w:val="24"/>
          <w:szCs w:val="24"/>
        </w:rPr>
        <w:t xml:space="preserve">İn </w:t>
      </w:r>
      <w:proofErr w:type="spellStart"/>
      <w:r w:rsidRPr="002549E3">
        <w:rPr>
          <w:rFonts w:ascii="Times New Roman" w:hAnsi="Times New Roman" w:cs="Times New Roman"/>
          <w:b/>
          <w:i/>
          <w:sz w:val="24"/>
          <w:szCs w:val="24"/>
        </w:rPr>
        <w:t>Vivo</w:t>
      </w:r>
      <w:proofErr w:type="spellEnd"/>
      <w:r w:rsidRPr="002549E3">
        <w:rPr>
          <w:rFonts w:ascii="Times New Roman" w:hAnsi="Times New Roman" w:cs="Times New Roman"/>
          <w:b/>
          <w:sz w:val="24"/>
          <w:szCs w:val="24"/>
        </w:rPr>
        <w:t xml:space="preserve"> Çalışmalar</w:t>
      </w:r>
    </w:p>
    <w:p w14:paraId="563704B2" w14:textId="77777777" w:rsidR="00336B38" w:rsidRPr="002549E3" w:rsidRDefault="00336B38" w:rsidP="00336B38">
      <w:pPr>
        <w:ind w:right="-567"/>
        <w:jc w:val="both"/>
        <w:rPr>
          <w:rFonts w:ascii="Times New Roman" w:hAnsi="Times New Roman" w:cs="Times New Roman"/>
          <w:sz w:val="24"/>
          <w:szCs w:val="24"/>
        </w:rPr>
      </w:pPr>
      <w:r w:rsidRPr="008C24BD">
        <w:rPr>
          <w:rFonts w:ascii="Times New Roman" w:hAnsi="Times New Roman" w:cs="Times New Roman"/>
          <w:b/>
          <w:sz w:val="24"/>
          <w:szCs w:val="24"/>
        </w:rPr>
        <w:t>MADDE 1</w:t>
      </w:r>
      <w:r>
        <w:rPr>
          <w:rFonts w:ascii="Times New Roman" w:hAnsi="Times New Roman" w:cs="Times New Roman"/>
          <w:b/>
          <w:sz w:val="24"/>
          <w:szCs w:val="24"/>
        </w:rPr>
        <w:t>7</w:t>
      </w:r>
      <w:r w:rsidRPr="00254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49E3">
        <w:rPr>
          <w:rFonts w:ascii="Times New Roman" w:hAnsi="Times New Roman" w:cs="Times New Roman"/>
          <w:sz w:val="24"/>
          <w:szCs w:val="24"/>
        </w:rPr>
        <w:t xml:space="preserve">(1) </w:t>
      </w:r>
      <w:proofErr w:type="spellStart"/>
      <w:r>
        <w:rPr>
          <w:rFonts w:ascii="Times New Roman" w:hAnsi="Times New Roman" w:cs="Times New Roman"/>
          <w:sz w:val="24"/>
          <w:szCs w:val="24"/>
        </w:rPr>
        <w:t>Biyobenzerliği</w:t>
      </w:r>
      <w:proofErr w:type="spellEnd"/>
      <w:r>
        <w:rPr>
          <w:rFonts w:ascii="Times New Roman" w:hAnsi="Times New Roman" w:cs="Times New Roman"/>
          <w:sz w:val="24"/>
          <w:szCs w:val="24"/>
        </w:rPr>
        <w:t xml:space="preserve"> desteklemek için ihtiyaç duyulması durumunda </w:t>
      </w:r>
      <w:r w:rsidRPr="00E12ECF">
        <w:rPr>
          <w:rFonts w:ascii="Times New Roman" w:hAnsi="Times New Roman" w:cs="Times New Roman"/>
          <w:i/>
          <w:sz w:val="24"/>
          <w:szCs w:val="24"/>
        </w:rPr>
        <w:t xml:space="preserve">in </w:t>
      </w:r>
      <w:proofErr w:type="spellStart"/>
      <w:r w:rsidRPr="00E12ECF">
        <w:rPr>
          <w:rFonts w:ascii="Times New Roman" w:hAnsi="Times New Roman" w:cs="Times New Roman"/>
          <w:i/>
          <w:sz w:val="24"/>
          <w:szCs w:val="24"/>
        </w:rPr>
        <w:t>vivo</w:t>
      </w:r>
      <w:proofErr w:type="spellEnd"/>
      <w:r>
        <w:rPr>
          <w:rFonts w:ascii="Times New Roman" w:hAnsi="Times New Roman" w:cs="Times New Roman"/>
          <w:sz w:val="24"/>
          <w:szCs w:val="24"/>
        </w:rPr>
        <w:t xml:space="preserve"> hayvan çalışmalarının odağı (</w:t>
      </w:r>
      <w:r w:rsidRPr="002549E3">
        <w:rPr>
          <w:rFonts w:ascii="Times New Roman" w:hAnsi="Times New Roman" w:cs="Times New Roman"/>
          <w:sz w:val="24"/>
          <w:szCs w:val="24"/>
        </w:rPr>
        <w:t>FK ve/veya farmakodinamik (FD</w:t>
      </w:r>
      <w:r>
        <w:rPr>
          <w:rFonts w:ascii="Times New Roman" w:hAnsi="Times New Roman" w:cs="Times New Roman"/>
          <w:sz w:val="24"/>
          <w:szCs w:val="24"/>
        </w:rPr>
        <w:t xml:space="preserve">), </w:t>
      </w:r>
      <w:r w:rsidRPr="002549E3">
        <w:rPr>
          <w:rFonts w:ascii="Times New Roman" w:hAnsi="Times New Roman" w:cs="Times New Roman"/>
          <w:sz w:val="24"/>
          <w:szCs w:val="24"/>
        </w:rPr>
        <w:t>güvenlilik</w:t>
      </w:r>
      <w:r>
        <w:rPr>
          <w:rFonts w:ascii="Times New Roman" w:hAnsi="Times New Roman" w:cs="Times New Roman"/>
          <w:sz w:val="24"/>
          <w:szCs w:val="24"/>
        </w:rPr>
        <w:t>)</w:t>
      </w:r>
      <w:r w:rsidRPr="002549E3">
        <w:rPr>
          <w:rFonts w:ascii="Times New Roman" w:hAnsi="Times New Roman" w:cs="Times New Roman"/>
          <w:sz w:val="24"/>
          <w:szCs w:val="24"/>
        </w:rPr>
        <w:t xml:space="preserve"> </w:t>
      </w:r>
      <w:r>
        <w:rPr>
          <w:rFonts w:ascii="Times New Roman" w:hAnsi="Times New Roman" w:cs="Times New Roman"/>
          <w:sz w:val="24"/>
          <w:szCs w:val="24"/>
        </w:rPr>
        <w:t xml:space="preserve"> ihtiyaç duyulan ilave bilgiye göre değişecektir. </w:t>
      </w:r>
    </w:p>
    <w:p w14:paraId="17BC03A6" w14:textId="77777777"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 xml:space="preserve">(2) Hayvan çalışmaları </w:t>
      </w:r>
      <w:proofErr w:type="gramStart"/>
      <w:r w:rsidRPr="002549E3">
        <w:rPr>
          <w:rFonts w:ascii="Times New Roman" w:hAnsi="Times New Roman" w:cs="Times New Roman"/>
          <w:sz w:val="24"/>
          <w:szCs w:val="24"/>
        </w:rPr>
        <w:t>optimum</w:t>
      </w:r>
      <w:proofErr w:type="gramEnd"/>
      <w:r w:rsidRPr="002549E3">
        <w:rPr>
          <w:rFonts w:ascii="Times New Roman" w:hAnsi="Times New Roman" w:cs="Times New Roman"/>
          <w:sz w:val="24"/>
          <w:szCs w:val="24"/>
        </w:rPr>
        <w:t xml:space="preserve"> bilgiyi elde edebilecek şekilde tasarlanmalıdır.</w:t>
      </w:r>
    </w:p>
    <w:p w14:paraId="22E4A8C2" w14:textId="6EE5BE60"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 xml:space="preserve">(3) Çalışmanın süresi (gözlem periyodu </w:t>
      </w:r>
      <w:proofErr w:type="gramStart"/>
      <w:r w:rsidRPr="002549E3">
        <w:rPr>
          <w:rFonts w:ascii="Times New Roman" w:hAnsi="Times New Roman" w:cs="Times New Roman"/>
          <w:sz w:val="24"/>
          <w:szCs w:val="24"/>
        </w:rPr>
        <w:t>dahil</w:t>
      </w:r>
      <w:proofErr w:type="gramEnd"/>
      <w:r w:rsidRPr="002549E3">
        <w:rPr>
          <w:rFonts w:ascii="Times New Roman" w:hAnsi="Times New Roman" w:cs="Times New Roman"/>
          <w:sz w:val="24"/>
          <w:szCs w:val="24"/>
        </w:rPr>
        <w:t xml:space="preserve"> olmak üzere), referans tıbbi ürünün </w:t>
      </w:r>
      <w:proofErr w:type="spellStart"/>
      <w:r w:rsidRPr="002549E3">
        <w:rPr>
          <w:rFonts w:ascii="Times New Roman" w:hAnsi="Times New Roman" w:cs="Times New Roman"/>
          <w:sz w:val="24"/>
          <w:szCs w:val="24"/>
        </w:rPr>
        <w:t>farmakokinetik</w:t>
      </w:r>
      <w:proofErr w:type="spellEnd"/>
      <w:r w:rsidRPr="002549E3">
        <w:rPr>
          <w:rFonts w:ascii="Times New Roman" w:hAnsi="Times New Roman" w:cs="Times New Roman"/>
          <w:sz w:val="24"/>
          <w:szCs w:val="24"/>
        </w:rPr>
        <w:t xml:space="preserve"> özellikleri ve klinik kullanım amacı göz önünde bulundurul</w:t>
      </w:r>
      <w:r w:rsidR="0053633F">
        <w:rPr>
          <w:rFonts w:ascii="Times New Roman" w:hAnsi="Times New Roman" w:cs="Times New Roman"/>
          <w:sz w:val="24"/>
          <w:szCs w:val="24"/>
        </w:rPr>
        <w:t>arak</w:t>
      </w:r>
      <w:r w:rsidRPr="002549E3">
        <w:rPr>
          <w:rFonts w:ascii="Times New Roman" w:hAnsi="Times New Roman" w:cs="Times New Roman"/>
          <w:sz w:val="24"/>
          <w:szCs w:val="24"/>
        </w:rPr>
        <w:t xml:space="preserve"> planlanmalıdır.</w:t>
      </w:r>
    </w:p>
    <w:p w14:paraId="392AEFD2" w14:textId="6283B59E" w:rsidR="00336B38" w:rsidRPr="002549E3" w:rsidRDefault="00336B38" w:rsidP="00336B38">
      <w:pPr>
        <w:ind w:right="-567"/>
        <w:jc w:val="both"/>
        <w:rPr>
          <w:rFonts w:ascii="Times New Roman" w:hAnsi="Times New Roman" w:cs="Times New Roman"/>
          <w:sz w:val="24"/>
          <w:szCs w:val="24"/>
        </w:rPr>
      </w:pPr>
      <w:r w:rsidRPr="001F447B">
        <w:rPr>
          <w:rFonts w:ascii="Times New Roman" w:hAnsi="Times New Roman" w:cs="Times New Roman"/>
          <w:sz w:val="24"/>
          <w:szCs w:val="24"/>
        </w:rPr>
        <w:t>(4) Çalışma modeli</w:t>
      </w:r>
      <w:r w:rsidRPr="002549E3">
        <w:rPr>
          <w:rFonts w:ascii="Times New Roman" w:hAnsi="Times New Roman" w:cs="Times New Roman"/>
          <w:sz w:val="24"/>
          <w:szCs w:val="24"/>
        </w:rPr>
        <w:t xml:space="preserve"> imkan verdiği </w:t>
      </w:r>
      <w:r>
        <w:rPr>
          <w:rFonts w:ascii="Times New Roman" w:hAnsi="Times New Roman" w:cs="Times New Roman"/>
          <w:sz w:val="24"/>
          <w:szCs w:val="24"/>
        </w:rPr>
        <w:t>taktirde,</w:t>
      </w:r>
      <w:r w:rsidRPr="002549E3">
        <w:rPr>
          <w:rFonts w:ascii="Times New Roman" w:hAnsi="Times New Roman" w:cs="Times New Roman"/>
          <w:sz w:val="24"/>
          <w:szCs w:val="24"/>
        </w:rPr>
        <w:t xml:space="preserve"> referans ve </w:t>
      </w:r>
      <w:proofErr w:type="spellStart"/>
      <w:r w:rsidRPr="002549E3">
        <w:rPr>
          <w:rFonts w:ascii="Times New Roman" w:hAnsi="Times New Roman" w:cs="Times New Roman"/>
          <w:sz w:val="24"/>
          <w:szCs w:val="24"/>
        </w:rPr>
        <w:t>biyobenzer</w:t>
      </w:r>
      <w:proofErr w:type="spellEnd"/>
      <w:r w:rsidRPr="002549E3">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549E3">
        <w:rPr>
          <w:rFonts w:ascii="Times New Roman" w:hAnsi="Times New Roman" w:cs="Times New Roman"/>
          <w:sz w:val="24"/>
          <w:szCs w:val="24"/>
        </w:rPr>
        <w:t xml:space="preserve">ürün </w:t>
      </w:r>
      <w:r>
        <w:rPr>
          <w:rFonts w:ascii="Times New Roman" w:hAnsi="Times New Roman" w:cs="Times New Roman"/>
          <w:sz w:val="24"/>
          <w:szCs w:val="24"/>
        </w:rPr>
        <w:t xml:space="preserve">mümkün ise </w:t>
      </w:r>
      <w:r w:rsidRPr="002549E3">
        <w:rPr>
          <w:rFonts w:ascii="Times New Roman" w:hAnsi="Times New Roman" w:cs="Times New Roman"/>
          <w:sz w:val="24"/>
          <w:szCs w:val="24"/>
        </w:rPr>
        <w:t xml:space="preserve">hedeflenen insan </w:t>
      </w:r>
      <w:proofErr w:type="spellStart"/>
      <w:r w:rsidRPr="002549E3">
        <w:rPr>
          <w:rFonts w:ascii="Times New Roman" w:hAnsi="Times New Roman" w:cs="Times New Roman"/>
          <w:sz w:val="24"/>
          <w:szCs w:val="24"/>
        </w:rPr>
        <w:t>maruziyet</w:t>
      </w:r>
      <w:r w:rsidR="00D71DFB">
        <w:rPr>
          <w:rFonts w:ascii="Times New Roman" w:hAnsi="Times New Roman" w:cs="Times New Roman"/>
          <w:sz w:val="24"/>
          <w:szCs w:val="24"/>
        </w:rPr>
        <w:t>ini</w:t>
      </w:r>
      <w:proofErr w:type="spellEnd"/>
      <w:r w:rsidR="00D71DFB">
        <w:rPr>
          <w:rFonts w:ascii="Times New Roman" w:hAnsi="Times New Roman" w:cs="Times New Roman"/>
          <w:sz w:val="24"/>
          <w:szCs w:val="24"/>
        </w:rPr>
        <w:t xml:space="preserve"> de kapsayan</w:t>
      </w:r>
      <w:r>
        <w:rPr>
          <w:rFonts w:ascii="Times New Roman" w:hAnsi="Times New Roman" w:cs="Times New Roman"/>
          <w:sz w:val="24"/>
          <w:szCs w:val="24"/>
        </w:rPr>
        <w:t xml:space="preserve"> doz</w:t>
      </w:r>
      <w:r w:rsidR="00D71DFB">
        <w:rPr>
          <w:rFonts w:ascii="Times New Roman" w:hAnsi="Times New Roman" w:cs="Times New Roman"/>
          <w:sz w:val="24"/>
          <w:szCs w:val="24"/>
        </w:rPr>
        <w:t xml:space="preserve"> </w:t>
      </w:r>
      <w:r w:rsidRPr="002549E3">
        <w:rPr>
          <w:rFonts w:ascii="Times New Roman" w:hAnsi="Times New Roman" w:cs="Times New Roman"/>
          <w:sz w:val="24"/>
          <w:szCs w:val="24"/>
        </w:rPr>
        <w:t>konsantrasyon</w:t>
      </w:r>
      <w:r w:rsidR="00D71DFB">
        <w:rPr>
          <w:rFonts w:ascii="Times New Roman" w:hAnsi="Times New Roman" w:cs="Times New Roman"/>
          <w:sz w:val="24"/>
          <w:szCs w:val="24"/>
        </w:rPr>
        <w:t>u</w:t>
      </w:r>
      <w:r w:rsidRPr="002549E3">
        <w:rPr>
          <w:rFonts w:ascii="Times New Roman" w:hAnsi="Times New Roman" w:cs="Times New Roman"/>
          <w:sz w:val="24"/>
          <w:szCs w:val="24"/>
        </w:rPr>
        <w:t>-yanıt değerlendirilmesi</w:t>
      </w:r>
      <w:r>
        <w:rPr>
          <w:rFonts w:ascii="Times New Roman" w:hAnsi="Times New Roman" w:cs="Times New Roman"/>
          <w:sz w:val="24"/>
          <w:szCs w:val="24"/>
        </w:rPr>
        <w:t xml:space="preserve">ni de içerecek şekilde </w:t>
      </w:r>
      <w:proofErr w:type="gramStart"/>
      <w:r w:rsidRPr="002549E3">
        <w:rPr>
          <w:rFonts w:ascii="Times New Roman" w:hAnsi="Times New Roman" w:cs="Times New Roman"/>
          <w:sz w:val="24"/>
          <w:szCs w:val="24"/>
        </w:rPr>
        <w:t>kantitatif</w:t>
      </w:r>
      <w:proofErr w:type="gramEnd"/>
      <w:r w:rsidRPr="002549E3">
        <w:rPr>
          <w:rFonts w:ascii="Times New Roman" w:hAnsi="Times New Roman" w:cs="Times New Roman"/>
          <w:sz w:val="24"/>
          <w:szCs w:val="24"/>
        </w:rPr>
        <w:t xml:space="preserve"> </w:t>
      </w:r>
      <w:r>
        <w:rPr>
          <w:rFonts w:ascii="Times New Roman" w:hAnsi="Times New Roman" w:cs="Times New Roman"/>
          <w:sz w:val="24"/>
          <w:szCs w:val="24"/>
        </w:rPr>
        <w:t>olarak karşılaştırılmalıdır</w:t>
      </w:r>
      <w:r w:rsidRPr="002549E3">
        <w:rPr>
          <w:rFonts w:ascii="Times New Roman" w:hAnsi="Times New Roman" w:cs="Times New Roman"/>
          <w:sz w:val="24"/>
          <w:szCs w:val="24"/>
        </w:rPr>
        <w:t>.</w:t>
      </w:r>
    </w:p>
    <w:p w14:paraId="3F3F20DC" w14:textId="77777777"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 xml:space="preserve">(5) </w:t>
      </w:r>
      <w:r>
        <w:rPr>
          <w:rFonts w:ascii="Times New Roman" w:hAnsi="Times New Roman" w:cs="Times New Roman"/>
          <w:sz w:val="24"/>
          <w:szCs w:val="24"/>
        </w:rPr>
        <w:t>Ö</w:t>
      </w:r>
      <w:r w:rsidRPr="002549E3">
        <w:rPr>
          <w:rFonts w:ascii="Times New Roman" w:hAnsi="Times New Roman" w:cs="Times New Roman"/>
          <w:sz w:val="24"/>
          <w:szCs w:val="24"/>
        </w:rPr>
        <w:t xml:space="preserve">zellikle insan olmayan primatların </w:t>
      </w:r>
      <w:r w:rsidRPr="00614F5E">
        <w:rPr>
          <w:rFonts w:ascii="Times New Roman" w:hAnsi="Times New Roman" w:cs="Times New Roman"/>
          <w:i/>
          <w:sz w:val="24"/>
          <w:szCs w:val="24"/>
        </w:rPr>
        <w:t xml:space="preserve">in </w:t>
      </w:r>
      <w:proofErr w:type="spellStart"/>
      <w:r w:rsidRPr="00614F5E">
        <w:rPr>
          <w:rFonts w:ascii="Times New Roman" w:hAnsi="Times New Roman" w:cs="Times New Roman"/>
          <w:i/>
          <w:sz w:val="24"/>
          <w:szCs w:val="24"/>
        </w:rPr>
        <w:t>vivo</w:t>
      </w:r>
      <w:proofErr w:type="spellEnd"/>
      <w:r>
        <w:rPr>
          <w:rFonts w:ascii="Times New Roman" w:hAnsi="Times New Roman" w:cs="Times New Roman"/>
          <w:sz w:val="24"/>
          <w:szCs w:val="24"/>
        </w:rPr>
        <w:t xml:space="preserve"> çalışmalarda kullanılabilecek uygun tek </w:t>
      </w:r>
      <w:r w:rsidRPr="002549E3">
        <w:rPr>
          <w:rFonts w:ascii="Times New Roman" w:hAnsi="Times New Roman" w:cs="Times New Roman"/>
          <w:sz w:val="24"/>
          <w:szCs w:val="24"/>
        </w:rPr>
        <w:t xml:space="preserve">tür olması durumunda </w:t>
      </w:r>
      <w:r>
        <w:rPr>
          <w:rFonts w:ascii="Times New Roman" w:hAnsi="Times New Roman" w:cs="Times New Roman"/>
          <w:sz w:val="24"/>
          <w:szCs w:val="24"/>
        </w:rPr>
        <w:t>g</w:t>
      </w:r>
      <w:r w:rsidRPr="002549E3">
        <w:rPr>
          <w:rFonts w:ascii="Times New Roman" w:hAnsi="Times New Roman" w:cs="Times New Roman"/>
          <w:sz w:val="24"/>
          <w:szCs w:val="24"/>
        </w:rPr>
        <w:t>üvenli</w:t>
      </w:r>
      <w:r>
        <w:rPr>
          <w:rFonts w:ascii="Times New Roman" w:hAnsi="Times New Roman" w:cs="Times New Roman"/>
          <w:sz w:val="24"/>
          <w:szCs w:val="24"/>
        </w:rPr>
        <w:t>li</w:t>
      </w:r>
      <w:r w:rsidRPr="002549E3">
        <w:rPr>
          <w:rFonts w:ascii="Times New Roman" w:hAnsi="Times New Roman" w:cs="Times New Roman"/>
          <w:sz w:val="24"/>
          <w:szCs w:val="24"/>
        </w:rPr>
        <w:t xml:space="preserve">k çalışmaları için esnek bir yaklaşım dikkate alınmalıdır. İnsan olmayan primatlarda standart yinelenen doz </w:t>
      </w:r>
      <w:proofErr w:type="spellStart"/>
      <w:r w:rsidRPr="002549E3">
        <w:rPr>
          <w:rFonts w:ascii="Times New Roman" w:hAnsi="Times New Roman" w:cs="Times New Roman"/>
          <w:sz w:val="24"/>
          <w:szCs w:val="24"/>
        </w:rPr>
        <w:t>toksisite</w:t>
      </w:r>
      <w:proofErr w:type="spellEnd"/>
      <w:r w:rsidRPr="002549E3">
        <w:rPr>
          <w:rFonts w:ascii="Times New Roman" w:hAnsi="Times New Roman" w:cs="Times New Roman"/>
          <w:sz w:val="24"/>
          <w:szCs w:val="24"/>
        </w:rPr>
        <w:t xml:space="preserve"> çalışmaları genellikle tavsiye edilmemektedir.</w:t>
      </w:r>
      <w:r>
        <w:rPr>
          <w:rFonts w:ascii="Times New Roman" w:hAnsi="Times New Roman" w:cs="Times New Roman"/>
          <w:sz w:val="24"/>
          <w:szCs w:val="24"/>
        </w:rPr>
        <w:t xml:space="preserve"> </w:t>
      </w:r>
      <w:r w:rsidRPr="002549E3">
        <w:rPr>
          <w:rFonts w:ascii="Times New Roman" w:hAnsi="Times New Roman" w:cs="Times New Roman"/>
          <w:sz w:val="24"/>
          <w:szCs w:val="24"/>
        </w:rPr>
        <w:t xml:space="preserve">Eğer uygun şekilde gerekçelendirilebilir ise, tasarımı sınırlandırılmış (hayvan sayısını azaltmaya yönelik) </w:t>
      </w:r>
      <w:r>
        <w:rPr>
          <w:rFonts w:ascii="Times New Roman" w:hAnsi="Times New Roman" w:cs="Times New Roman"/>
          <w:sz w:val="24"/>
          <w:szCs w:val="24"/>
        </w:rPr>
        <w:t xml:space="preserve">bir </w:t>
      </w:r>
      <w:r w:rsidRPr="002549E3">
        <w:rPr>
          <w:rFonts w:ascii="Times New Roman" w:hAnsi="Times New Roman" w:cs="Times New Roman"/>
          <w:sz w:val="24"/>
          <w:szCs w:val="24"/>
        </w:rPr>
        <w:t xml:space="preserve">yinelenen doz </w:t>
      </w:r>
      <w:proofErr w:type="spellStart"/>
      <w:r w:rsidRPr="002549E3">
        <w:rPr>
          <w:rFonts w:ascii="Times New Roman" w:hAnsi="Times New Roman" w:cs="Times New Roman"/>
          <w:sz w:val="24"/>
          <w:szCs w:val="24"/>
        </w:rPr>
        <w:t>toksisite</w:t>
      </w:r>
      <w:proofErr w:type="spellEnd"/>
      <w:r w:rsidRPr="002549E3">
        <w:rPr>
          <w:rFonts w:ascii="Times New Roman" w:hAnsi="Times New Roman" w:cs="Times New Roman"/>
          <w:sz w:val="24"/>
          <w:szCs w:val="24"/>
        </w:rPr>
        <w:t xml:space="preserve"> çalışması </w:t>
      </w:r>
      <w:r w:rsidRPr="002C7935">
        <w:rPr>
          <w:rFonts w:ascii="Times New Roman" w:hAnsi="Times New Roman" w:cs="Times New Roman"/>
          <w:sz w:val="24"/>
          <w:szCs w:val="24"/>
        </w:rPr>
        <w:t>(</w:t>
      </w:r>
      <w:r w:rsidRPr="002549E3">
        <w:rPr>
          <w:rFonts w:ascii="Times New Roman" w:hAnsi="Times New Roman" w:cs="Times New Roman"/>
          <w:sz w:val="24"/>
          <w:szCs w:val="24"/>
        </w:rPr>
        <w:t>örneğin</w:t>
      </w:r>
      <w:r>
        <w:rPr>
          <w:rFonts w:ascii="Times New Roman" w:hAnsi="Times New Roman" w:cs="Times New Roman"/>
          <w:sz w:val="24"/>
          <w:szCs w:val="24"/>
        </w:rPr>
        <w:t>;</w:t>
      </w:r>
      <w:r w:rsidRPr="002549E3">
        <w:rPr>
          <w:rFonts w:ascii="Times New Roman" w:hAnsi="Times New Roman" w:cs="Times New Roman"/>
          <w:sz w:val="24"/>
          <w:szCs w:val="24"/>
        </w:rPr>
        <w:t xml:space="preserve"> </w:t>
      </w:r>
      <w:proofErr w:type="spellStart"/>
      <w:r w:rsidRPr="002549E3">
        <w:rPr>
          <w:rFonts w:ascii="Times New Roman" w:hAnsi="Times New Roman" w:cs="Times New Roman"/>
          <w:sz w:val="24"/>
          <w:szCs w:val="24"/>
        </w:rPr>
        <w:t>biyobenzer</w:t>
      </w:r>
      <w:proofErr w:type="spellEnd"/>
      <w:r w:rsidRPr="002549E3">
        <w:rPr>
          <w:rFonts w:ascii="Times New Roman" w:hAnsi="Times New Roman" w:cs="Times New Roman"/>
          <w:sz w:val="24"/>
          <w:szCs w:val="24"/>
        </w:rPr>
        <w:t xml:space="preserve"> ve referans ürünün sadece tek bir dozunu kullanarak ve/veya </w:t>
      </w:r>
      <w:r>
        <w:rPr>
          <w:rFonts w:ascii="Times New Roman" w:hAnsi="Times New Roman" w:cs="Times New Roman"/>
          <w:sz w:val="24"/>
          <w:szCs w:val="24"/>
        </w:rPr>
        <w:t>çalışmayı erkek ve dişi hayvanlar yerine tek cins hayvanda yaparak</w:t>
      </w:r>
      <w:r w:rsidRPr="002549E3">
        <w:rPr>
          <w:rFonts w:ascii="Times New Roman" w:hAnsi="Times New Roman" w:cs="Times New Roman"/>
          <w:sz w:val="24"/>
          <w:szCs w:val="24"/>
        </w:rPr>
        <w:t xml:space="preserve"> ve/veya </w:t>
      </w:r>
      <w:r>
        <w:rPr>
          <w:rFonts w:ascii="Times New Roman" w:hAnsi="Times New Roman" w:cs="Times New Roman"/>
          <w:sz w:val="24"/>
          <w:szCs w:val="24"/>
        </w:rPr>
        <w:t xml:space="preserve">çalışmada gözlenen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etkilerin geri dönüşümlü olup olmadığını belirlemek için ayrı </w:t>
      </w:r>
      <w:proofErr w:type="gramStart"/>
      <w:r>
        <w:rPr>
          <w:rFonts w:ascii="Times New Roman" w:hAnsi="Times New Roman" w:cs="Times New Roman"/>
          <w:sz w:val="24"/>
          <w:szCs w:val="24"/>
        </w:rPr>
        <w:t>bir</w:t>
      </w:r>
      <w:r w:rsidRPr="002549E3">
        <w:rPr>
          <w:rFonts w:ascii="Times New Roman" w:hAnsi="Times New Roman" w:cs="Times New Roman"/>
          <w:sz w:val="24"/>
          <w:szCs w:val="24"/>
        </w:rPr>
        <w:t xml:space="preserve">  hayvan</w:t>
      </w:r>
      <w:proofErr w:type="gramEnd"/>
      <w:r w:rsidRPr="002549E3">
        <w:rPr>
          <w:rFonts w:ascii="Times New Roman" w:hAnsi="Times New Roman" w:cs="Times New Roman"/>
          <w:sz w:val="24"/>
          <w:szCs w:val="24"/>
        </w:rPr>
        <w:t xml:space="preserve"> </w:t>
      </w:r>
      <w:r w:rsidRPr="00290964">
        <w:rPr>
          <w:rFonts w:ascii="Times New Roman" w:hAnsi="Times New Roman" w:cs="Times New Roman"/>
          <w:sz w:val="24"/>
          <w:szCs w:val="24"/>
        </w:rPr>
        <w:t>grubu -</w:t>
      </w:r>
      <w:proofErr w:type="spellStart"/>
      <w:r w:rsidRPr="00290964">
        <w:rPr>
          <w:rFonts w:ascii="Times New Roman" w:hAnsi="Times New Roman" w:cs="Times New Roman"/>
          <w:sz w:val="24"/>
          <w:szCs w:val="24"/>
        </w:rPr>
        <w:t>recovery</w:t>
      </w:r>
      <w:proofErr w:type="spellEnd"/>
      <w:r w:rsidRPr="00290964">
        <w:rPr>
          <w:rFonts w:ascii="Times New Roman" w:hAnsi="Times New Roman" w:cs="Times New Roman"/>
          <w:sz w:val="24"/>
          <w:szCs w:val="24"/>
        </w:rPr>
        <w:t xml:space="preserve"> </w:t>
      </w:r>
      <w:proofErr w:type="spellStart"/>
      <w:r w:rsidRPr="00290964">
        <w:rPr>
          <w:rFonts w:ascii="Times New Roman" w:hAnsi="Times New Roman" w:cs="Times New Roman"/>
          <w:sz w:val="24"/>
          <w:szCs w:val="24"/>
        </w:rPr>
        <w:t>group</w:t>
      </w:r>
      <w:proofErr w:type="spellEnd"/>
      <w:r w:rsidRPr="00290964">
        <w:rPr>
          <w:rFonts w:ascii="Times New Roman" w:hAnsi="Times New Roman" w:cs="Times New Roman"/>
          <w:sz w:val="24"/>
          <w:szCs w:val="24"/>
        </w:rPr>
        <w:t>- kullanmayarak</w:t>
      </w:r>
      <w:r w:rsidRPr="002C7935">
        <w:rPr>
          <w:rFonts w:ascii="Times New Roman" w:hAnsi="Times New Roman" w:cs="Times New Roman"/>
          <w:sz w:val="24"/>
          <w:szCs w:val="24"/>
        </w:rPr>
        <w:t>)</w:t>
      </w:r>
      <w:r w:rsidRPr="002549E3">
        <w:rPr>
          <w:rFonts w:ascii="Times New Roman" w:hAnsi="Times New Roman" w:cs="Times New Roman"/>
          <w:sz w:val="24"/>
          <w:szCs w:val="24"/>
        </w:rPr>
        <w:t xml:space="preserve"> ve/veya güvenli</w:t>
      </w:r>
      <w:r>
        <w:rPr>
          <w:rFonts w:ascii="Times New Roman" w:hAnsi="Times New Roman" w:cs="Times New Roman"/>
          <w:sz w:val="24"/>
          <w:szCs w:val="24"/>
        </w:rPr>
        <w:t>li</w:t>
      </w:r>
      <w:r w:rsidRPr="002549E3">
        <w:rPr>
          <w:rFonts w:ascii="Times New Roman" w:hAnsi="Times New Roman" w:cs="Times New Roman"/>
          <w:sz w:val="24"/>
          <w:szCs w:val="24"/>
        </w:rPr>
        <w:t>k parametrelerinin (klinik belirtiler, vücut ağırlığı ve hayati fonksiyonlar gibi) canlı hayvan</w:t>
      </w:r>
      <w:r>
        <w:rPr>
          <w:rFonts w:ascii="Times New Roman" w:hAnsi="Times New Roman" w:cs="Times New Roman"/>
          <w:sz w:val="24"/>
          <w:szCs w:val="24"/>
        </w:rPr>
        <w:t>larda</w:t>
      </w:r>
      <w:r w:rsidRPr="002549E3">
        <w:rPr>
          <w:rFonts w:ascii="Times New Roman" w:hAnsi="Times New Roman" w:cs="Times New Roman"/>
          <w:sz w:val="24"/>
          <w:szCs w:val="24"/>
        </w:rPr>
        <w:t xml:space="preserve"> değerlendirildiği çalışmalar </w:t>
      </w:r>
      <w:r>
        <w:rPr>
          <w:rFonts w:ascii="Times New Roman" w:hAnsi="Times New Roman" w:cs="Times New Roman"/>
          <w:sz w:val="24"/>
          <w:szCs w:val="24"/>
        </w:rPr>
        <w:t>gerçekleştirilebilir</w:t>
      </w:r>
      <w:r w:rsidRPr="002549E3">
        <w:rPr>
          <w:rFonts w:ascii="Times New Roman" w:hAnsi="Times New Roman" w:cs="Times New Roman"/>
          <w:sz w:val="24"/>
          <w:szCs w:val="24"/>
        </w:rPr>
        <w:t xml:space="preserve">. </w:t>
      </w:r>
      <w:r>
        <w:rPr>
          <w:rFonts w:ascii="Times New Roman" w:hAnsi="Times New Roman" w:cs="Times New Roman"/>
          <w:sz w:val="24"/>
          <w:szCs w:val="24"/>
        </w:rPr>
        <w:t>Tek dozun etkisinin değerlendirileceği y</w:t>
      </w:r>
      <w:r w:rsidRPr="002549E3">
        <w:rPr>
          <w:rFonts w:ascii="Times New Roman" w:hAnsi="Times New Roman" w:cs="Times New Roman"/>
          <w:sz w:val="24"/>
          <w:szCs w:val="24"/>
        </w:rPr>
        <w:t xml:space="preserve">inelenen doz </w:t>
      </w:r>
      <w:proofErr w:type="spellStart"/>
      <w:r w:rsidRPr="002549E3">
        <w:rPr>
          <w:rFonts w:ascii="Times New Roman" w:hAnsi="Times New Roman" w:cs="Times New Roman"/>
          <w:sz w:val="24"/>
          <w:szCs w:val="24"/>
        </w:rPr>
        <w:t>toksisite</w:t>
      </w:r>
      <w:proofErr w:type="spellEnd"/>
      <w:r w:rsidRPr="002549E3">
        <w:rPr>
          <w:rFonts w:ascii="Times New Roman" w:hAnsi="Times New Roman" w:cs="Times New Roman"/>
          <w:sz w:val="24"/>
          <w:szCs w:val="24"/>
        </w:rPr>
        <w:t xml:space="preserve"> çalışmalarında </w:t>
      </w:r>
      <w:r>
        <w:rPr>
          <w:rFonts w:ascii="Times New Roman" w:hAnsi="Times New Roman" w:cs="Times New Roman"/>
          <w:sz w:val="24"/>
          <w:szCs w:val="24"/>
        </w:rPr>
        <w:lastRenderedPageBreak/>
        <w:t xml:space="preserve">genellikle doz aralığının üst ucunda </w:t>
      </w:r>
      <w:r w:rsidRPr="002549E3">
        <w:rPr>
          <w:rFonts w:ascii="Times New Roman" w:hAnsi="Times New Roman" w:cs="Times New Roman"/>
          <w:sz w:val="24"/>
          <w:szCs w:val="24"/>
        </w:rPr>
        <w:t>mümkün olan en yüksek doz</w:t>
      </w:r>
      <w:r>
        <w:rPr>
          <w:rFonts w:ascii="Times New Roman" w:hAnsi="Times New Roman" w:cs="Times New Roman"/>
          <w:sz w:val="24"/>
          <w:szCs w:val="24"/>
        </w:rPr>
        <w:t xml:space="preserve"> seçilecek ve bu seçim referans tıbbi ürünün beklenen </w:t>
      </w:r>
      <w:proofErr w:type="spellStart"/>
      <w:r>
        <w:rPr>
          <w:rFonts w:ascii="Times New Roman" w:hAnsi="Times New Roman" w:cs="Times New Roman"/>
          <w:sz w:val="24"/>
          <w:szCs w:val="24"/>
        </w:rPr>
        <w:t>toksisitesi</w:t>
      </w:r>
      <w:proofErr w:type="spellEnd"/>
      <w:r>
        <w:rPr>
          <w:rFonts w:ascii="Times New Roman" w:hAnsi="Times New Roman" w:cs="Times New Roman"/>
          <w:sz w:val="24"/>
          <w:szCs w:val="24"/>
        </w:rPr>
        <w:t xml:space="preserve"> temelinde gerekçelendirilecektir</w:t>
      </w:r>
      <w:r w:rsidRPr="002549E3">
        <w:rPr>
          <w:rFonts w:ascii="Times New Roman" w:hAnsi="Times New Roman" w:cs="Times New Roman"/>
          <w:sz w:val="24"/>
          <w:szCs w:val="24"/>
        </w:rPr>
        <w:t>.</w:t>
      </w:r>
    </w:p>
    <w:p w14:paraId="73DC5C07" w14:textId="1E92A5BC" w:rsidR="00336B38"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6</w:t>
      </w:r>
      <w:r w:rsidRPr="002549E3">
        <w:rPr>
          <w:rFonts w:ascii="Times New Roman" w:hAnsi="Times New Roman" w:cs="Times New Roman"/>
          <w:sz w:val="24"/>
          <w:szCs w:val="24"/>
        </w:rPr>
        <w:t xml:space="preserve">) </w:t>
      </w:r>
      <w:proofErr w:type="spellStart"/>
      <w:r w:rsidRPr="002549E3">
        <w:rPr>
          <w:rFonts w:ascii="Times New Roman" w:hAnsi="Times New Roman" w:cs="Times New Roman"/>
          <w:sz w:val="24"/>
          <w:szCs w:val="24"/>
        </w:rPr>
        <w:t>Toksisite</w:t>
      </w:r>
      <w:proofErr w:type="spellEnd"/>
      <w:r w:rsidRPr="002549E3">
        <w:rPr>
          <w:rFonts w:ascii="Times New Roman" w:hAnsi="Times New Roman" w:cs="Times New Roman"/>
          <w:sz w:val="24"/>
          <w:szCs w:val="24"/>
        </w:rPr>
        <w:t xml:space="preserve"> çalışmaların</w:t>
      </w:r>
      <w:r>
        <w:rPr>
          <w:rFonts w:ascii="Times New Roman" w:hAnsi="Times New Roman" w:cs="Times New Roman"/>
          <w:sz w:val="24"/>
          <w:szCs w:val="24"/>
        </w:rPr>
        <w:t>ın</w:t>
      </w:r>
      <w:r w:rsidRPr="005E6160">
        <w:rPr>
          <w:rFonts w:ascii="Times New Roman" w:hAnsi="Times New Roman" w:cs="Times New Roman"/>
          <w:sz w:val="24"/>
          <w:szCs w:val="24"/>
        </w:rPr>
        <w:t xml:space="preserve"> </w:t>
      </w:r>
      <w:r w:rsidRPr="002549E3">
        <w:rPr>
          <w:rFonts w:ascii="Times New Roman" w:hAnsi="Times New Roman" w:cs="Times New Roman"/>
          <w:sz w:val="24"/>
          <w:szCs w:val="24"/>
        </w:rPr>
        <w:t>geçerli olmayan hayvan türleri</w:t>
      </w:r>
      <w:r>
        <w:rPr>
          <w:rFonts w:ascii="Times New Roman" w:hAnsi="Times New Roman" w:cs="Times New Roman"/>
          <w:sz w:val="24"/>
          <w:szCs w:val="24"/>
        </w:rPr>
        <w:t xml:space="preserve">nde gerçekleştirilmesi </w:t>
      </w:r>
      <w:r w:rsidRPr="002549E3">
        <w:rPr>
          <w:rFonts w:ascii="Times New Roman" w:hAnsi="Times New Roman" w:cs="Times New Roman"/>
          <w:sz w:val="24"/>
          <w:szCs w:val="24"/>
        </w:rPr>
        <w:t>(</w:t>
      </w:r>
      <w:r>
        <w:rPr>
          <w:rFonts w:ascii="Times New Roman" w:hAnsi="Times New Roman" w:cs="Times New Roman"/>
          <w:sz w:val="24"/>
          <w:szCs w:val="24"/>
        </w:rPr>
        <w:t xml:space="preserve">örneğin, </w:t>
      </w:r>
      <w:proofErr w:type="spellStart"/>
      <w:r>
        <w:rPr>
          <w:rFonts w:ascii="Times New Roman" w:hAnsi="Times New Roman" w:cs="Times New Roman"/>
          <w:sz w:val="24"/>
          <w:szCs w:val="24"/>
        </w:rPr>
        <w:t>safsızlıklar</w:t>
      </w:r>
      <w:proofErr w:type="spellEnd"/>
      <w:r>
        <w:rPr>
          <w:rFonts w:ascii="Times New Roman" w:hAnsi="Times New Roman" w:cs="Times New Roman"/>
          <w:sz w:val="24"/>
          <w:szCs w:val="24"/>
        </w:rPr>
        <w:t xml:space="preserve"> temelinde, sadece özgül</w:t>
      </w:r>
      <w:r w:rsidRPr="002549E3">
        <w:rPr>
          <w:rFonts w:ascii="Times New Roman" w:hAnsi="Times New Roman" w:cs="Times New Roman"/>
          <w:sz w:val="24"/>
          <w:szCs w:val="24"/>
        </w:rPr>
        <w:t xml:space="preserve"> olmayan </w:t>
      </w:r>
      <w:proofErr w:type="spellStart"/>
      <w:r w:rsidRPr="002549E3">
        <w:rPr>
          <w:rFonts w:ascii="Times New Roman" w:hAnsi="Times New Roman" w:cs="Times New Roman"/>
          <w:sz w:val="24"/>
          <w:szCs w:val="24"/>
        </w:rPr>
        <w:t>toksisite</w:t>
      </w:r>
      <w:r>
        <w:rPr>
          <w:rFonts w:ascii="Times New Roman" w:hAnsi="Times New Roman" w:cs="Times New Roman"/>
          <w:sz w:val="24"/>
          <w:szCs w:val="24"/>
        </w:rPr>
        <w:t>nin</w:t>
      </w:r>
      <w:proofErr w:type="spellEnd"/>
      <w:r>
        <w:rPr>
          <w:rFonts w:ascii="Times New Roman" w:hAnsi="Times New Roman" w:cs="Times New Roman"/>
          <w:sz w:val="24"/>
          <w:szCs w:val="24"/>
        </w:rPr>
        <w:t xml:space="preserve"> </w:t>
      </w:r>
      <w:r w:rsidRPr="002549E3">
        <w:rPr>
          <w:rFonts w:ascii="Times New Roman" w:hAnsi="Times New Roman" w:cs="Times New Roman"/>
          <w:sz w:val="24"/>
          <w:szCs w:val="24"/>
        </w:rPr>
        <w:t>değerlendir</w:t>
      </w:r>
      <w:r>
        <w:rPr>
          <w:rFonts w:ascii="Times New Roman" w:hAnsi="Times New Roman" w:cs="Times New Roman"/>
          <w:sz w:val="24"/>
          <w:szCs w:val="24"/>
        </w:rPr>
        <w:t xml:space="preserve">ilmesi) önerilmemektedir. </w:t>
      </w:r>
      <w:r w:rsidRPr="002549E3">
        <w:rPr>
          <w:rFonts w:ascii="Times New Roman" w:hAnsi="Times New Roman" w:cs="Times New Roman"/>
          <w:sz w:val="24"/>
          <w:szCs w:val="24"/>
        </w:rPr>
        <w:t xml:space="preserve"> </w:t>
      </w:r>
      <w:proofErr w:type="spellStart"/>
      <w:r>
        <w:rPr>
          <w:rFonts w:ascii="Times New Roman" w:hAnsi="Times New Roman" w:cs="Times New Roman"/>
          <w:sz w:val="24"/>
          <w:szCs w:val="24"/>
        </w:rPr>
        <w:t>Safsızlıklarla</w:t>
      </w:r>
      <w:proofErr w:type="spellEnd"/>
      <w:r>
        <w:rPr>
          <w:rFonts w:ascii="Times New Roman" w:hAnsi="Times New Roman" w:cs="Times New Roman"/>
          <w:sz w:val="24"/>
          <w:szCs w:val="24"/>
        </w:rPr>
        <w:t xml:space="preserve"> ilişkili riskleri</w:t>
      </w:r>
      <w:r w:rsidR="00C8273A">
        <w:rPr>
          <w:rFonts w:ascii="Times New Roman" w:hAnsi="Times New Roman" w:cs="Times New Roman"/>
          <w:sz w:val="24"/>
          <w:szCs w:val="24"/>
        </w:rPr>
        <w:t xml:space="preserve"> mini</w:t>
      </w:r>
      <w:r>
        <w:rPr>
          <w:rFonts w:ascii="Times New Roman" w:hAnsi="Times New Roman" w:cs="Times New Roman"/>
          <w:sz w:val="24"/>
          <w:szCs w:val="24"/>
        </w:rPr>
        <w:t xml:space="preserve">mum düzeyde tutmak için en uygun strateji, </w:t>
      </w:r>
      <w:proofErr w:type="spellStart"/>
      <w:r w:rsidR="00C8273A">
        <w:rPr>
          <w:rFonts w:ascii="Times New Roman" w:hAnsi="Times New Roman" w:cs="Times New Roman"/>
          <w:sz w:val="24"/>
          <w:szCs w:val="24"/>
        </w:rPr>
        <w:t>safsızlık</w:t>
      </w:r>
      <w:proofErr w:type="spellEnd"/>
      <w:r w:rsidR="00C8273A">
        <w:rPr>
          <w:rFonts w:ascii="Times New Roman" w:hAnsi="Times New Roman" w:cs="Times New Roman"/>
          <w:sz w:val="24"/>
          <w:szCs w:val="24"/>
        </w:rPr>
        <w:t xml:space="preserve"> </w:t>
      </w:r>
      <w:r>
        <w:rPr>
          <w:rFonts w:ascii="Times New Roman" w:hAnsi="Times New Roman" w:cs="Times New Roman"/>
          <w:sz w:val="24"/>
          <w:szCs w:val="24"/>
        </w:rPr>
        <w:t xml:space="preserve">düzeylerini en düşük seviyede tutmaktır. </w:t>
      </w:r>
    </w:p>
    <w:p w14:paraId="67C37D04" w14:textId="77777777" w:rsidR="00336B38" w:rsidRPr="002549E3" w:rsidRDefault="00336B38" w:rsidP="00336B38">
      <w:pPr>
        <w:ind w:right="-567"/>
        <w:jc w:val="both"/>
        <w:rPr>
          <w:rFonts w:ascii="Times New Roman" w:hAnsi="Times New Roman" w:cs="Times New Roman"/>
          <w:sz w:val="24"/>
          <w:szCs w:val="24"/>
        </w:rPr>
      </w:pPr>
      <w:r>
        <w:rPr>
          <w:rFonts w:ascii="Times New Roman" w:hAnsi="Times New Roman" w:cs="Times New Roman"/>
          <w:sz w:val="24"/>
          <w:szCs w:val="24"/>
        </w:rPr>
        <w:t xml:space="preserve">(7) </w:t>
      </w:r>
      <w:r w:rsidRPr="002549E3">
        <w:rPr>
          <w:rFonts w:ascii="Times New Roman" w:hAnsi="Times New Roman" w:cs="Times New Roman"/>
          <w:sz w:val="24"/>
          <w:szCs w:val="24"/>
        </w:rPr>
        <w:t xml:space="preserve">Ürün ile ilişkili </w:t>
      </w:r>
      <w:r>
        <w:rPr>
          <w:rFonts w:ascii="Times New Roman" w:hAnsi="Times New Roman" w:cs="Times New Roman"/>
          <w:sz w:val="24"/>
          <w:szCs w:val="24"/>
        </w:rPr>
        <w:t xml:space="preserve">varyantlardaki </w:t>
      </w:r>
      <w:proofErr w:type="gramStart"/>
      <w:r w:rsidRPr="002549E3">
        <w:rPr>
          <w:rFonts w:ascii="Times New Roman" w:hAnsi="Times New Roman" w:cs="Times New Roman"/>
          <w:sz w:val="24"/>
          <w:szCs w:val="24"/>
        </w:rPr>
        <w:t>kalitatif</w:t>
      </w:r>
      <w:proofErr w:type="gramEnd"/>
      <w:r w:rsidRPr="002549E3">
        <w:rPr>
          <w:rFonts w:ascii="Times New Roman" w:hAnsi="Times New Roman" w:cs="Times New Roman"/>
          <w:sz w:val="24"/>
          <w:szCs w:val="24"/>
        </w:rPr>
        <w:t xml:space="preserve"> ve kantitatif farklılıklar</w:t>
      </w:r>
      <w:r>
        <w:rPr>
          <w:rFonts w:ascii="Times New Roman" w:hAnsi="Times New Roman" w:cs="Times New Roman"/>
          <w:sz w:val="24"/>
          <w:szCs w:val="24"/>
        </w:rPr>
        <w:t>ın</w:t>
      </w:r>
      <w:r w:rsidRPr="002549E3">
        <w:rPr>
          <w:rFonts w:ascii="Times New Roman" w:hAnsi="Times New Roman" w:cs="Times New Roman"/>
          <w:sz w:val="24"/>
          <w:szCs w:val="24"/>
        </w:rPr>
        <w:t xml:space="preserve"> (örneğin </w:t>
      </w:r>
      <w:proofErr w:type="spellStart"/>
      <w:r w:rsidRPr="002549E3">
        <w:rPr>
          <w:rFonts w:ascii="Times New Roman" w:hAnsi="Times New Roman" w:cs="Times New Roman"/>
          <w:sz w:val="24"/>
          <w:szCs w:val="24"/>
        </w:rPr>
        <w:t>glikozilasyon</w:t>
      </w:r>
      <w:proofErr w:type="spellEnd"/>
      <w:r w:rsidRPr="002549E3">
        <w:rPr>
          <w:rFonts w:ascii="Times New Roman" w:hAnsi="Times New Roman" w:cs="Times New Roman"/>
          <w:sz w:val="24"/>
          <w:szCs w:val="24"/>
        </w:rPr>
        <w:t xml:space="preserve"> </w:t>
      </w:r>
      <w:proofErr w:type="spellStart"/>
      <w:r w:rsidRPr="002549E3">
        <w:rPr>
          <w:rFonts w:ascii="Times New Roman" w:hAnsi="Times New Roman" w:cs="Times New Roman"/>
          <w:sz w:val="24"/>
          <w:szCs w:val="24"/>
        </w:rPr>
        <w:t>patern</w:t>
      </w:r>
      <w:proofErr w:type="spellEnd"/>
      <w:r w:rsidRPr="002549E3">
        <w:rPr>
          <w:rFonts w:ascii="Times New Roman" w:hAnsi="Times New Roman" w:cs="Times New Roman"/>
          <w:sz w:val="24"/>
          <w:szCs w:val="24"/>
        </w:rPr>
        <w:t xml:space="preserve"> değişikliği) </w:t>
      </w:r>
      <w:r>
        <w:rPr>
          <w:rFonts w:ascii="Times New Roman" w:hAnsi="Times New Roman" w:cs="Times New Roman"/>
          <w:sz w:val="24"/>
          <w:szCs w:val="24"/>
        </w:rPr>
        <w:t xml:space="preserve">bu tür ürünlerin </w:t>
      </w:r>
      <w:r w:rsidRPr="002549E3">
        <w:rPr>
          <w:rFonts w:ascii="Times New Roman" w:hAnsi="Times New Roman" w:cs="Times New Roman"/>
          <w:sz w:val="24"/>
          <w:szCs w:val="24"/>
        </w:rPr>
        <w:t>biyolojik fonksiyonları</w:t>
      </w:r>
      <w:r>
        <w:rPr>
          <w:rFonts w:ascii="Times New Roman" w:hAnsi="Times New Roman" w:cs="Times New Roman"/>
          <w:sz w:val="24"/>
          <w:szCs w:val="24"/>
        </w:rPr>
        <w:t>nı</w:t>
      </w:r>
      <w:r w:rsidRPr="002549E3">
        <w:rPr>
          <w:rFonts w:ascii="Times New Roman" w:hAnsi="Times New Roman" w:cs="Times New Roman"/>
          <w:sz w:val="24"/>
          <w:szCs w:val="24"/>
        </w:rPr>
        <w:t xml:space="preserve"> etkileyebil</w:t>
      </w:r>
      <w:r>
        <w:rPr>
          <w:rFonts w:ascii="Times New Roman" w:hAnsi="Times New Roman" w:cs="Times New Roman"/>
          <w:sz w:val="24"/>
          <w:szCs w:val="24"/>
        </w:rPr>
        <w:t xml:space="preserve">eceği bilinmekle birlikte, bu farklılıkların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vitro</w:t>
      </w:r>
      <w:proofErr w:type="spellEnd"/>
      <w:r w:rsidRPr="002549E3">
        <w:rPr>
          <w:rFonts w:ascii="Times New Roman" w:hAnsi="Times New Roman" w:cs="Times New Roman"/>
          <w:sz w:val="24"/>
          <w:szCs w:val="24"/>
        </w:rPr>
        <w:t xml:space="preserve"> testler</w:t>
      </w:r>
      <w:r>
        <w:rPr>
          <w:rFonts w:ascii="Times New Roman" w:hAnsi="Times New Roman" w:cs="Times New Roman"/>
          <w:sz w:val="24"/>
          <w:szCs w:val="24"/>
        </w:rPr>
        <w:t xml:space="preserve">le </w:t>
      </w:r>
      <w:r w:rsidRPr="002549E3">
        <w:rPr>
          <w:rFonts w:ascii="Times New Roman" w:hAnsi="Times New Roman" w:cs="Times New Roman"/>
          <w:sz w:val="24"/>
          <w:szCs w:val="24"/>
        </w:rPr>
        <w:t xml:space="preserve">değerlendirilmesi </w:t>
      </w:r>
      <w:r>
        <w:rPr>
          <w:rFonts w:ascii="Times New Roman" w:hAnsi="Times New Roman" w:cs="Times New Roman"/>
          <w:sz w:val="24"/>
          <w:szCs w:val="24"/>
        </w:rPr>
        <w:t>beklenecektir</w:t>
      </w:r>
      <w:r w:rsidRPr="002549E3">
        <w:rPr>
          <w:rFonts w:ascii="Times New Roman" w:hAnsi="Times New Roman" w:cs="Times New Roman"/>
          <w:sz w:val="24"/>
          <w:szCs w:val="24"/>
        </w:rPr>
        <w:t xml:space="preserve">. Ayrıca bu </w:t>
      </w:r>
      <w:r>
        <w:rPr>
          <w:rFonts w:ascii="Times New Roman" w:hAnsi="Times New Roman" w:cs="Times New Roman"/>
          <w:sz w:val="24"/>
          <w:szCs w:val="24"/>
        </w:rPr>
        <w:t xml:space="preserve">tür farklılıkların ve </w:t>
      </w:r>
      <w:proofErr w:type="spellStart"/>
      <w:r>
        <w:rPr>
          <w:rFonts w:ascii="Times New Roman" w:hAnsi="Times New Roman" w:cs="Times New Roman"/>
          <w:sz w:val="24"/>
          <w:szCs w:val="24"/>
        </w:rPr>
        <w:t>safsızlıkların</w:t>
      </w:r>
      <w:proofErr w:type="spellEnd"/>
      <w:r>
        <w:rPr>
          <w:rFonts w:ascii="Times New Roman" w:hAnsi="Times New Roman" w:cs="Times New Roman"/>
          <w:sz w:val="24"/>
          <w:szCs w:val="24"/>
        </w:rPr>
        <w:t xml:space="preserve"> biyolojik ürünlerin i</w:t>
      </w:r>
      <w:r w:rsidRPr="002549E3">
        <w:rPr>
          <w:rFonts w:ascii="Times New Roman" w:hAnsi="Times New Roman" w:cs="Times New Roman"/>
          <w:sz w:val="24"/>
          <w:szCs w:val="24"/>
        </w:rPr>
        <w:t>mm</w:t>
      </w:r>
      <w:r>
        <w:rPr>
          <w:rFonts w:ascii="Times New Roman" w:hAnsi="Times New Roman" w:cs="Times New Roman"/>
          <w:sz w:val="24"/>
          <w:szCs w:val="24"/>
        </w:rPr>
        <w:t>ü</w:t>
      </w:r>
      <w:r w:rsidRPr="002549E3">
        <w:rPr>
          <w:rFonts w:ascii="Times New Roman" w:hAnsi="Times New Roman" w:cs="Times New Roman"/>
          <w:sz w:val="24"/>
          <w:szCs w:val="24"/>
        </w:rPr>
        <w:t xml:space="preserve">nolojik </w:t>
      </w:r>
      <w:r>
        <w:rPr>
          <w:rFonts w:ascii="Times New Roman" w:hAnsi="Times New Roman" w:cs="Times New Roman"/>
          <w:sz w:val="24"/>
          <w:szCs w:val="24"/>
        </w:rPr>
        <w:t xml:space="preserve">kapasitelerini, </w:t>
      </w:r>
      <w:r w:rsidRPr="001F447B">
        <w:rPr>
          <w:rFonts w:ascii="Times New Roman" w:hAnsi="Times New Roman" w:cs="Times New Roman"/>
          <w:sz w:val="24"/>
          <w:szCs w:val="24"/>
        </w:rPr>
        <w:t>aşırı duyarlılığa</w:t>
      </w:r>
      <w:r w:rsidRPr="002549E3">
        <w:rPr>
          <w:rFonts w:ascii="Times New Roman" w:hAnsi="Times New Roman" w:cs="Times New Roman"/>
          <w:sz w:val="24"/>
          <w:szCs w:val="24"/>
        </w:rPr>
        <w:t xml:space="preserve"> neden ol</w:t>
      </w:r>
      <w:r>
        <w:rPr>
          <w:rFonts w:ascii="Times New Roman" w:hAnsi="Times New Roman" w:cs="Times New Roman"/>
          <w:sz w:val="24"/>
          <w:szCs w:val="24"/>
        </w:rPr>
        <w:t>ma potansiyellerini etkileyebilecekleri bilinmekle birlikte, bu tür etkilerin hayvan çalışmaları ile öngörülmesi oldukça zordur ve ayrıntılı değerlendirmelerinin klinik çalışmalarda yapılması gerekir</w:t>
      </w:r>
      <w:r w:rsidRPr="002549E3">
        <w:rPr>
          <w:rFonts w:ascii="Times New Roman" w:hAnsi="Times New Roman" w:cs="Times New Roman"/>
          <w:sz w:val="24"/>
          <w:szCs w:val="24"/>
        </w:rPr>
        <w:t>.</w:t>
      </w:r>
    </w:p>
    <w:p w14:paraId="519FE1B0" w14:textId="77777777" w:rsidR="00336B38" w:rsidRPr="002549E3"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8</w:t>
      </w:r>
      <w:r w:rsidRPr="002549E3">
        <w:rPr>
          <w:rFonts w:ascii="Times New Roman" w:hAnsi="Times New Roman" w:cs="Times New Roman"/>
          <w:sz w:val="24"/>
          <w:szCs w:val="24"/>
        </w:rPr>
        <w:t xml:space="preserve">) Genellikle hayvan çalışmalarındaki </w:t>
      </w:r>
      <w:proofErr w:type="spellStart"/>
      <w:r w:rsidRPr="002549E3">
        <w:rPr>
          <w:rFonts w:ascii="Times New Roman" w:hAnsi="Times New Roman" w:cs="Times New Roman"/>
          <w:sz w:val="24"/>
          <w:szCs w:val="24"/>
        </w:rPr>
        <w:t>immunojenisite</w:t>
      </w:r>
      <w:proofErr w:type="spellEnd"/>
      <w:r w:rsidRPr="002549E3">
        <w:rPr>
          <w:rFonts w:ascii="Times New Roman" w:hAnsi="Times New Roman" w:cs="Times New Roman"/>
          <w:sz w:val="24"/>
          <w:szCs w:val="24"/>
        </w:rPr>
        <w:t xml:space="preserve"> değerlendirilmesi insanlardaki </w:t>
      </w:r>
      <w:proofErr w:type="spellStart"/>
      <w:r w:rsidRPr="002549E3">
        <w:rPr>
          <w:rFonts w:ascii="Times New Roman" w:hAnsi="Times New Roman" w:cs="Times New Roman"/>
          <w:sz w:val="24"/>
          <w:szCs w:val="24"/>
        </w:rPr>
        <w:t>immunojenisitenin</w:t>
      </w:r>
      <w:proofErr w:type="spellEnd"/>
      <w:r w:rsidRPr="002549E3">
        <w:rPr>
          <w:rFonts w:ascii="Times New Roman" w:hAnsi="Times New Roman" w:cs="Times New Roman"/>
          <w:sz w:val="24"/>
          <w:szCs w:val="24"/>
        </w:rPr>
        <w:t xml:space="preserve"> </w:t>
      </w:r>
      <w:r w:rsidRPr="001F447B">
        <w:rPr>
          <w:rFonts w:ascii="Times New Roman" w:hAnsi="Times New Roman" w:cs="Times New Roman"/>
          <w:sz w:val="24"/>
          <w:szCs w:val="24"/>
        </w:rPr>
        <w:t>öngörülmesi</w:t>
      </w:r>
      <w:r w:rsidRPr="002549E3">
        <w:rPr>
          <w:rFonts w:ascii="Times New Roman" w:hAnsi="Times New Roman" w:cs="Times New Roman"/>
          <w:sz w:val="24"/>
          <w:szCs w:val="24"/>
        </w:rPr>
        <w:t xml:space="preserve"> için uygun olmamakla birlikte</w:t>
      </w:r>
      <w:r>
        <w:rPr>
          <w:rFonts w:ascii="Times New Roman" w:hAnsi="Times New Roman" w:cs="Times New Roman"/>
          <w:sz w:val="24"/>
          <w:szCs w:val="24"/>
        </w:rPr>
        <w:t xml:space="preserve">,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vivo</w:t>
      </w:r>
      <w:proofErr w:type="spellEnd"/>
      <w:r w:rsidRPr="002549E3">
        <w:rPr>
          <w:rFonts w:ascii="Times New Roman" w:hAnsi="Times New Roman" w:cs="Times New Roman"/>
          <w:sz w:val="24"/>
          <w:szCs w:val="24"/>
        </w:rPr>
        <w:t xml:space="preserve"> hayvan çalışmaların</w:t>
      </w:r>
      <w:r>
        <w:rPr>
          <w:rFonts w:ascii="Times New Roman" w:hAnsi="Times New Roman" w:cs="Times New Roman"/>
          <w:sz w:val="24"/>
          <w:szCs w:val="24"/>
        </w:rPr>
        <w:t xml:space="preserve">ın yorumlanması için bu verilere </w:t>
      </w:r>
      <w:r w:rsidRPr="002549E3">
        <w:rPr>
          <w:rFonts w:ascii="Times New Roman" w:hAnsi="Times New Roman" w:cs="Times New Roman"/>
          <w:sz w:val="24"/>
          <w:szCs w:val="24"/>
        </w:rPr>
        <w:t xml:space="preserve">ihtiyaç duyulabilir. Bu nedenle, gerektiğinde </w:t>
      </w:r>
      <w:proofErr w:type="spellStart"/>
      <w:r>
        <w:rPr>
          <w:rFonts w:ascii="Times New Roman" w:hAnsi="Times New Roman" w:cs="Times New Roman"/>
          <w:sz w:val="24"/>
          <w:szCs w:val="24"/>
        </w:rPr>
        <w:t>farmakokinetik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toksikokinetik</w:t>
      </w:r>
      <w:proofErr w:type="spellEnd"/>
      <w:r>
        <w:rPr>
          <w:rFonts w:ascii="Times New Roman" w:hAnsi="Times New Roman" w:cs="Times New Roman"/>
          <w:sz w:val="24"/>
          <w:szCs w:val="24"/>
        </w:rPr>
        <w:t xml:space="preserve"> veri değerlendirmelerinde kullanılmak üzere </w:t>
      </w:r>
      <w:r w:rsidRPr="002549E3">
        <w:rPr>
          <w:rFonts w:ascii="Times New Roman" w:hAnsi="Times New Roman" w:cs="Times New Roman"/>
          <w:sz w:val="24"/>
          <w:szCs w:val="24"/>
        </w:rPr>
        <w:t>hayvanların kan örnekleri alınarak saklanmalıdır.</w:t>
      </w:r>
    </w:p>
    <w:p w14:paraId="7DA1F19A" w14:textId="77777777" w:rsidR="00336B38" w:rsidRPr="001F447B" w:rsidRDefault="00336B38" w:rsidP="00336B38">
      <w:pPr>
        <w:ind w:right="-567"/>
        <w:jc w:val="both"/>
        <w:rPr>
          <w:rFonts w:ascii="Times New Roman" w:hAnsi="Times New Roman" w:cs="Times New Roman"/>
          <w:sz w:val="24"/>
          <w:szCs w:val="24"/>
        </w:rPr>
      </w:pPr>
      <w:r w:rsidRPr="002549E3">
        <w:rPr>
          <w:rFonts w:ascii="Times New Roman" w:hAnsi="Times New Roman" w:cs="Times New Roman"/>
          <w:sz w:val="24"/>
          <w:szCs w:val="24"/>
        </w:rPr>
        <w:t>(</w:t>
      </w:r>
      <w:r>
        <w:rPr>
          <w:rFonts w:ascii="Times New Roman" w:hAnsi="Times New Roman" w:cs="Times New Roman"/>
          <w:sz w:val="24"/>
          <w:szCs w:val="24"/>
        </w:rPr>
        <w:t>9</w:t>
      </w:r>
      <w:r w:rsidRPr="002549E3">
        <w:rPr>
          <w:rFonts w:ascii="Times New Roman" w:hAnsi="Times New Roman" w:cs="Times New Roman"/>
          <w:sz w:val="24"/>
          <w:szCs w:val="24"/>
        </w:rPr>
        <w:t xml:space="preserve">) </w:t>
      </w:r>
      <w:proofErr w:type="spellStart"/>
      <w:r w:rsidRPr="002549E3">
        <w:rPr>
          <w:rFonts w:ascii="Times New Roman" w:hAnsi="Times New Roman" w:cs="Times New Roman"/>
          <w:sz w:val="24"/>
          <w:szCs w:val="24"/>
        </w:rPr>
        <w:t>Biyobenzer</w:t>
      </w:r>
      <w:proofErr w:type="spellEnd"/>
      <w:r w:rsidRPr="002549E3">
        <w:rPr>
          <w:rFonts w:ascii="Times New Roman" w:hAnsi="Times New Roman" w:cs="Times New Roman"/>
          <w:sz w:val="24"/>
          <w:szCs w:val="24"/>
        </w:rPr>
        <w:t xml:space="preserve"> </w:t>
      </w:r>
      <w:r>
        <w:rPr>
          <w:rFonts w:ascii="Times New Roman" w:hAnsi="Times New Roman" w:cs="Times New Roman"/>
          <w:sz w:val="24"/>
          <w:szCs w:val="24"/>
        </w:rPr>
        <w:t>tıbbi</w:t>
      </w:r>
      <w:r w:rsidRPr="002549E3">
        <w:rPr>
          <w:rFonts w:ascii="Times New Roman" w:hAnsi="Times New Roman" w:cs="Times New Roman"/>
          <w:sz w:val="24"/>
          <w:szCs w:val="24"/>
        </w:rPr>
        <w:t xml:space="preserve"> ürünler için farmakolojik güvenlilik, üreme </w:t>
      </w:r>
      <w:proofErr w:type="spellStart"/>
      <w:r w:rsidRPr="002549E3">
        <w:rPr>
          <w:rFonts w:ascii="Times New Roman" w:hAnsi="Times New Roman" w:cs="Times New Roman"/>
          <w:sz w:val="24"/>
          <w:szCs w:val="24"/>
        </w:rPr>
        <w:t>toksisitesi</w:t>
      </w:r>
      <w:proofErr w:type="spellEnd"/>
      <w:r w:rsidRPr="002549E3">
        <w:rPr>
          <w:rFonts w:ascii="Times New Roman" w:hAnsi="Times New Roman" w:cs="Times New Roman"/>
          <w:sz w:val="24"/>
          <w:szCs w:val="24"/>
        </w:rPr>
        <w:t xml:space="preserve"> ve </w:t>
      </w:r>
      <w:proofErr w:type="spellStart"/>
      <w:r w:rsidRPr="002549E3">
        <w:rPr>
          <w:rFonts w:ascii="Times New Roman" w:hAnsi="Times New Roman" w:cs="Times New Roman"/>
          <w:sz w:val="24"/>
          <w:szCs w:val="24"/>
        </w:rPr>
        <w:t>karsinojenisite</w:t>
      </w:r>
      <w:proofErr w:type="spellEnd"/>
      <w:r w:rsidRPr="002549E3">
        <w:rPr>
          <w:rFonts w:ascii="Times New Roman" w:hAnsi="Times New Roman" w:cs="Times New Roman"/>
          <w:sz w:val="24"/>
          <w:szCs w:val="24"/>
        </w:rPr>
        <w:t xml:space="preserve"> ile ilgili klinik dışı çalışmalara </w:t>
      </w:r>
      <w:r>
        <w:rPr>
          <w:rFonts w:ascii="Times New Roman" w:hAnsi="Times New Roman" w:cs="Times New Roman"/>
          <w:sz w:val="24"/>
          <w:szCs w:val="24"/>
        </w:rPr>
        <w:t xml:space="preserve">genellikle </w:t>
      </w:r>
      <w:r w:rsidRPr="002549E3">
        <w:rPr>
          <w:rFonts w:ascii="Times New Roman" w:hAnsi="Times New Roman" w:cs="Times New Roman"/>
          <w:sz w:val="24"/>
          <w:szCs w:val="24"/>
        </w:rPr>
        <w:t xml:space="preserve">gerek yoktur. Lokal tolerans testlerine de genellikle ihtiyaç duyulmamaktadır. Ancak </w:t>
      </w:r>
      <w:proofErr w:type="spellStart"/>
      <w:r>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ürünün yapısına yeni </w:t>
      </w:r>
      <w:r w:rsidRPr="002549E3">
        <w:rPr>
          <w:rFonts w:ascii="Times New Roman" w:hAnsi="Times New Roman" w:cs="Times New Roman"/>
          <w:sz w:val="24"/>
          <w:szCs w:val="24"/>
        </w:rPr>
        <w:t xml:space="preserve">yardımcı maddeler </w:t>
      </w:r>
      <w:r>
        <w:rPr>
          <w:rFonts w:ascii="Times New Roman" w:hAnsi="Times New Roman" w:cs="Times New Roman"/>
          <w:sz w:val="24"/>
          <w:szCs w:val="24"/>
        </w:rPr>
        <w:t xml:space="preserve">girmiş ise ve </w:t>
      </w:r>
      <w:proofErr w:type="spellStart"/>
      <w:r>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ürünün kullanılacağı klinik uygulama yolunda bu yeni yardımcı maddelere ilişkin </w:t>
      </w:r>
      <w:r w:rsidRPr="002549E3">
        <w:rPr>
          <w:rFonts w:ascii="Times New Roman" w:hAnsi="Times New Roman" w:cs="Times New Roman"/>
          <w:sz w:val="24"/>
          <w:szCs w:val="24"/>
        </w:rPr>
        <w:t xml:space="preserve">deneyim yok veya kısıtlı ise </w:t>
      </w:r>
      <w:proofErr w:type="gramStart"/>
      <w:r>
        <w:rPr>
          <w:rFonts w:ascii="Times New Roman" w:hAnsi="Times New Roman" w:cs="Times New Roman"/>
          <w:sz w:val="24"/>
          <w:szCs w:val="24"/>
        </w:rPr>
        <w:t>lokal</w:t>
      </w:r>
      <w:proofErr w:type="gramEnd"/>
      <w:r>
        <w:rPr>
          <w:rFonts w:ascii="Times New Roman" w:hAnsi="Times New Roman" w:cs="Times New Roman"/>
          <w:sz w:val="24"/>
          <w:szCs w:val="24"/>
        </w:rPr>
        <w:t xml:space="preserve"> toleransın değerlendirilmesi gerekebilir. </w:t>
      </w:r>
      <w:proofErr w:type="spellStart"/>
      <w:r>
        <w:rPr>
          <w:rFonts w:ascii="Times New Roman" w:hAnsi="Times New Roman" w:cs="Times New Roman"/>
          <w:sz w:val="24"/>
          <w:szCs w:val="24"/>
        </w:rPr>
        <w:t>Biyobenzerlik</w:t>
      </w:r>
      <w:proofErr w:type="spellEnd"/>
      <w:r>
        <w:rPr>
          <w:rFonts w:ascii="Times New Roman" w:hAnsi="Times New Roman" w:cs="Times New Roman"/>
          <w:sz w:val="24"/>
          <w:szCs w:val="24"/>
        </w:rPr>
        <w:t xml:space="preserve"> için başka </w:t>
      </w:r>
      <w:r w:rsidRPr="00B93CBE">
        <w:rPr>
          <w:rFonts w:ascii="Times New Roman" w:hAnsi="Times New Roman" w:cs="Times New Roman"/>
          <w:i/>
          <w:sz w:val="24"/>
          <w:szCs w:val="24"/>
        </w:rPr>
        <w:t xml:space="preserve">in </w:t>
      </w:r>
      <w:proofErr w:type="spellStart"/>
      <w:r w:rsidRPr="00B93CBE">
        <w:rPr>
          <w:rFonts w:ascii="Times New Roman" w:hAnsi="Times New Roman" w:cs="Times New Roman"/>
          <w:i/>
          <w:sz w:val="24"/>
          <w:szCs w:val="24"/>
        </w:rPr>
        <w:t>vivo</w:t>
      </w:r>
      <w:proofErr w:type="spellEnd"/>
      <w:r>
        <w:rPr>
          <w:rFonts w:ascii="Times New Roman" w:hAnsi="Times New Roman" w:cs="Times New Roman"/>
          <w:sz w:val="24"/>
          <w:szCs w:val="24"/>
        </w:rPr>
        <w:t xml:space="preserve"> çalışmaların yapılması gerekiyor ise </w:t>
      </w:r>
      <w:proofErr w:type="gramStart"/>
      <w:r>
        <w:rPr>
          <w:rFonts w:ascii="Times New Roman" w:hAnsi="Times New Roman" w:cs="Times New Roman"/>
          <w:sz w:val="24"/>
          <w:szCs w:val="24"/>
        </w:rPr>
        <w:t>lokal</w:t>
      </w:r>
      <w:proofErr w:type="gramEnd"/>
      <w:r>
        <w:rPr>
          <w:rFonts w:ascii="Times New Roman" w:hAnsi="Times New Roman" w:cs="Times New Roman"/>
          <w:sz w:val="24"/>
          <w:szCs w:val="24"/>
        </w:rPr>
        <w:t xml:space="preserve"> tolerans değerlendirmesi ayrı lokal tolerans çalışmaları yapılmadan bu çalışma tasarımlarının bir parçası olarak gerçekleştirilebilir.</w:t>
      </w:r>
    </w:p>
    <w:p w14:paraId="48BEAAE3" w14:textId="77777777" w:rsidR="00336B38" w:rsidRPr="002C7935" w:rsidRDefault="00336B38" w:rsidP="00336B38">
      <w:pPr>
        <w:ind w:right="-567"/>
        <w:jc w:val="both"/>
        <w:rPr>
          <w:rFonts w:ascii="Times New Roman" w:hAnsi="Times New Roman" w:cs="Times New Roman"/>
          <w:sz w:val="24"/>
          <w:szCs w:val="24"/>
        </w:rPr>
      </w:pPr>
    </w:p>
    <w:p w14:paraId="55AEAFBD" w14:textId="77777777" w:rsidR="00336B38" w:rsidRDefault="00336B38" w:rsidP="00336B38">
      <w:pPr>
        <w:pStyle w:val="ListeParagraf"/>
        <w:numPr>
          <w:ilvl w:val="0"/>
          <w:numId w:val="27"/>
        </w:numPr>
        <w:rPr>
          <w:rFonts w:ascii="Times New Roman" w:hAnsi="Times New Roman" w:cs="Times New Roman"/>
          <w:b/>
          <w:sz w:val="24"/>
          <w:szCs w:val="24"/>
        </w:rPr>
      </w:pPr>
      <w:r>
        <w:rPr>
          <w:rFonts w:ascii="Times New Roman" w:hAnsi="Times New Roman" w:cs="Times New Roman"/>
          <w:b/>
          <w:sz w:val="24"/>
          <w:szCs w:val="24"/>
        </w:rPr>
        <w:t>BÖLÜM</w:t>
      </w:r>
    </w:p>
    <w:p w14:paraId="2998C75E" w14:textId="77777777" w:rsidR="00336B38" w:rsidRPr="002C7935" w:rsidRDefault="00336B38" w:rsidP="00336B38">
      <w:pPr>
        <w:ind w:right="-567"/>
        <w:jc w:val="both"/>
        <w:rPr>
          <w:rFonts w:ascii="Times New Roman" w:hAnsi="Times New Roman" w:cs="Times New Roman"/>
          <w:b/>
          <w:sz w:val="24"/>
          <w:szCs w:val="24"/>
        </w:rPr>
      </w:pPr>
      <w:r>
        <w:rPr>
          <w:rFonts w:ascii="Times New Roman" w:hAnsi="Times New Roman" w:cs="Times New Roman"/>
          <w:b/>
          <w:sz w:val="24"/>
          <w:szCs w:val="24"/>
        </w:rPr>
        <w:t xml:space="preserve">Klinik Çalışmalar </w:t>
      </w:r>
    </w:p>
    <w:p w14:paraId="65253597"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b/>
          <w:sz w:val="24"/>
          <w:szCs w:val="24"/>
        </w:rPr>
        <w:t>MADDE 1</w:t>
      </w:r>
      <w:r>
        <w:rPr>
          <w:rFonts w:ascii="Times New Roman" w:hAnsi="Times New Roman" w:cs="Times New Roman"/>
          <w:b/>
          <w:sz w:val="24"/>
          <w:szCs w:val="24"/>
        </w:rPr>
        <w:t>8 -</w:t>
      </w:r>
      <w:r w:rsidRPr="002C7935">
        <w:rPr>
          <w:rFonts w:ascii="Times New Roman" w:hAnsi="Times New Roman" w:cs="Times New Roman"/>
          <w:sz w:val="24"/>
          <w:szCs w:val="24"/>
        </w:rPr>
        <w:t xml:space="preserve"> (1) Karşılaştırma verileri</w:t>
      </w:r>
      <w:r w:rsidRPr="001F447B">
        <w:rPr>
          <w:rFonts w:ascii="Times New Roman" w:hAnsi="Times New Roman" w:cs="Times New Roman"/>
          <w:sz w:val="24"/>
          <w:szCs w:val="24"/>
        </w:rPr>
        <w:t>,</w:t>
      </w:r>
      <w:r w:rsidRPr="002C7935">
        <w:rPr>
          <w:rFonts w:ascii="Times New Roman" w:hAnsi="Times New Roman" w:cs="Times New Roman"/>
          <w:sz w:val="24"/>
          <w:szCs w:val="24"/>
        </w:rPr>
        <w:t xml:space="preserve">  klinik kullanım </w:t>
      </w:r>
      <w:proofErr w:type="gramStart"/>
      <w:r w:rsidRPr="002C7935">
        <w:rPr>
          <w:rFonts w:ascii="Times New Roman" w:hAnsi="Times New Roman" w:cs="Times New Roman"/>
          <w:sz w:val="24"/>
          <w:szCs w:val="24"/>
        </w:rPr>
        <w:t>aşamasına  gelmiş</w:t>
      </w:r>
      <w:proofErr w:type="gramEnd"/>
      <w:r w:rsidRPr="002C7935">
        <w:rPr>
          <w:rFonts w:ascii="Times New Roman" w:hAnsi="Times New Roman" w:cs="Times New Roman"/>
          <w:sz w:val="24"/>
          <w:szCs w:val="24"/>
        </w:rPr>
        <w:t xml:space="preserve"> olan, kalite  profilini   yansıtacak  şekilde,  nihai  üretim  işlemlerinden geçmiş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w:t>
      </w:r>
      <w:r w:rsidRPr="002C7935">
        <w:rPr>
          <w:rFonts w:ascii="Times New Roman" w:hAnsi="Times New Roman" w:cs="Times New Roman"/>
          <w:sz w:val="24"/>
          <w:szCs w:val="24"/>
        </w:rPr>
        <w:t xml:space="preserve"> ürün  </w:t>
      </w:r>
      <w:r w:rsidRPr="001F447B">
        <w:rPr>
          <w:rFonts w:ascii="Times New Roman" w:hAnsi="Times New Roman" w:cs="Times New Roman"/>
          <w:sz w:val="24"/>
          <w:szCs w:val="24"/>
        </w:rPr>
        <w:t xml:space="preserve">ile </w:t>
      </w:r>
      <w:r w:rsidRPr="00C01A07">
        <w:rPr>
          <w:rFonts w:ascii="Times New Roman" w:hAnsi="Times New Roman" w:cs="Times New Roman"/>
          <w:sz w:val="24"/>
          <w:szCs w:val="24"/>
        </w:rPr>
        <w:t xml:space="preserve">elde  edilmelidir. </w:t>
      </w:r>
      <w:r w:rsidRPr="002C7935">
        <w:rPr>
          <w:rFonts w:ascii="Times New Roman" w:hAnsi="Times New Roman" w:cs="Times New Roman"/>
          <w:sz w:val="24"/>
          <w:szCs w:val="24"/>
        </w:rPr>
        <w:t xml:space="preserve">Farklı aşamalardaki ürünlerle yapılacak çalışmaların gerekçelendirilmeleri ve yeterli ilave </w:t>
      </w:r>
      <w:proofErr w:type="spellStart"/>
      <w:r>
        <w:rPr>
          <w:rFonts w:ascii="Times New Roman" w:hAnsi="Times New Roman" w:cs="Times New Roman"/>
          <w:sz w:val="24"/>
          <w:szCs w:val="24"/>
        </w:rPr>
        <w:t>köprüleme</w:t>
      </w:r>
      <w:proofErr w:type="spellEnd"/>
      <w:r w:rsidRPr="002C7935">
        <w:rPr>
          <w:rFonts w:ascii="Times New Roman" w:hAnsi="Times New Roman" w:cs="Times New Roman"/>
          <w:sz w:val="24"/>
          <w:szCs w:val="24"/>
        </w:rPr>
        <w:t xml:space="preserve"> veri</w:t>
      </w:r>
      <w:r>
        <w:rPr>
          <w:rFonts w:ascii="Times New Roman" w:hAnsi="Times New Roman" w:cs="Times New Roman"/>
          <w:sz w:val="24"/>
          <w:szCs w:val="24"/>
        </w:rPr>
        <w:t>si</w:t>
      </w:r>
      <w:r w:rsidRPr="002C7935">
        <w:rPr>
          <w:rFonts w:ascii="Times New Roman" w:hAnsi="Times New Roman" w:cs="Times New Roman"/>
          <w:sz w:val="24"/>
          <w:szCs w:val="24"/>
        </w:rPr>
        <w:t xml:space="preserve"> ile desteklenmeleri gerekmektedir.</w:t>
      </w:r>
    </w:p>
    <w:p w14:paraId="5F85D6E4" w14:textId="76D83E69"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(2) Klinik karşılaştırma çalışma</w:t>
      </w:r>
      <w:r w:rsidRPr="001F447B">
        <w:rPr>
          <w:rFonts w:ascii="Times New Roman" w:hAnsi="Times New Roman" w:cs="Times New Roman"/>
          <w:sz w:val="24"/>
          <w:szCs w:val="24"/>
        </w:rPr>
        <w:t>ları</w:t>
      </w:r>
      <w:r w:rsidRPr="002C7935">
        <w:rPr>
          <w:rFonts w:ascii="Times New Roman" w:hAnsi="Times New Roman" w:cs="Times New Roman"/>
          <w:sz w:val="24"/>
          <w:szCs w:val="24"/>
        </w:rPr>
        <w:t xml:space="preserve">, </w:t>
      </w:r>
      <w:r w:rsidRPr="001F447B">
        <w:rPr>
          <w:rFonts w:ascii="Times New Roman" w:hAnsi="Times New Roman" w:cs="Times New Roman"/>
          <w:sz w:val="24"/>
          <w:szCs w:val="24"/>
        </w:rPr>
        <w:t>aşamalı olarak</w:t>
      </w:r>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ve uygulanabilir ise</w:t>
      </w:r>
      <w:r>
        <w:rPr>
          <w:rFonts w:ascii="Times New Roman" w:hAnsi="Times New Roman" w:cs="Times New Roman"/>
          <w:sz w:val="24"/>
          <w:szCs w:val="24"/>
        </w:rPr>
        <w:t xml:space="preserve"> </w:t>
      </w:r>
      <w:r w:rsidRPr="002C7935">
        <w:rPr>
          <w:rFonts w:ascii="Times New Roman" w:hAnsi="Times New Roman" w:cs="Times New Roman"/>
          <w:sz w:val="24"/>
          <w:szCs w:val="24"/>
        </w:rPr>
        <w:t xml:space="preserve">farmakodinamik çalışmalarla başlamalı, takiben klinik etkililik ve güvenlilik çalışmalarıyla sürdürülmeli veya bazı </w:t>
      </w:r>
      <w:proofErr w:type="gramStart"/>
      <w:r w:rsidRPr="002C7935">
        <w:rPr>
          <w:rFonts w:ascii="Times New Roman" w:hAnsi="Times New Roman" w:cs="Times New Roman"/>
          <w:sz w:val="24"/>
          <w:szCs w:val="24"/>
        </w:rPr>
        <w:t>özel  durumlarda</w:t>
      </w:r>
      <w:proofErr w:type="gramEnd"/>
      <w:r w:rsidRPr="002C7935">
        <w:rPr>
          <w:rFonts w:ascii="Times New Roman" w:hAnsi="Times New Roman" w:cs="Times New Roman"/>
          <w:sz w:val="24"/>
          <w:szCs w:val="24"/>
        </w:rPr>
        <w:t xml:space="preserve">  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 ile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w:t>
      </w:r>
      <w:r w:rsidRPr="002C7935">
        <w:rPr>
          <w:rFonts w:ascii="Times New Roman" w:hAnsi="Times New Roman" w:cs="Times New Roman"/>
          <w:sz w:val="24"/>
          <w:szCs w:val="24"/>
        </w:rPr>
        <w:t xml:space="preserve"> ürününün klinik  </w:t>
      </w:r>
      <w:proofErr w:type="spellStart"/>
      <w:r w:rsidRPr="002C7935">
        <w:rPr>
          <w:rFonts w:ascii="Times New Roman" w:hAnsi="Times New Roman" w:cs="Times New Roman"/>
          <w:sz w:val="24"/>
          <w:szCs w:val="24"/>
        </w:rPr>
        <w:t>karşılaştırılabilirliğini</w:t>
      </w:r>
      <w:proofErr w:type="spellEnd"/>
      <w:r w:rsidRPr="002C7935">
        <w:rPr>
          <w:rFonts w:ascii="Times New Roman" w:hAnsi="Times New Roman" w:cs="Times New Roman"/>
          <w:sz w:val="24"/>
          <w:szCs w:val="24"/>
        </w:rPr>
        <w:t xml:space="preserve"> göstermek  için</w:t>
      </w:r>
      <w:r w:rsidR="008F7418">
        <w:rPr>
          <w:rFonts w:ascii="Times New Roman" w:hAnsi="Times New Roman" w:cs="Times New Roman"/>
          <w:sz w:val="24"/>
          <w:szCs w:val="24"/>
        </w:rPr>
        <w:t xml:space="preserve">  doğrulayıcı FK/FD  çalışmalar</w:t>
      </w:r>
      <w:r w:rsidRPr="002C7935">
        <w:rPr>
          <w:rFonts w:ascii="Times New Roman" w:hAnsi="Times New Roman" w:cs="Times New Roman"/>
          <w:sz w:val="24"/>
          <w:szCs w:val="24"/>
        </w:rPr>
        <w:t xml:space="preserve">  ile  devam  edilmelidir.</w:t>
      </w:r>
    </w:p>
    <w:p w14:paraId="2C91DE64" w14:textId="77777777" w:rsidR="00336B38" w:rsidRPr="002C7935" w:rsidRDefault="00336B38" w:rsidP="00336B38">
      <w:pPr>
        <w:ind w:right="-567"/>
        <w:jc w:val="both"/>
        <w:rPr>
          <w:rFonts w:ascii="Times New Roman" w:hAnsi="Times New Roman" w:cs="Times New Roman"/>
          <w:sz w:val="24"/>
          <w:szCs w:val="24"/>
        </w:rPr>
      </w:pPr>
    </w:p>
    <w:p w14:paraId="730D7BF1" w14:textId="77777777" w:rsidR="00336B38" w:rsidRPr="002C7935" w:rsidRDefault="00336B38" w:rsidP="00336B38">
      <w:pPr>
        <w:ind w:right="-567"/>
        <w:jc w:val="both"/>
        <w:rPr>
          <w:rFonts w:ascii="Times New Roman" w:hAnsi="Times New Roman" w:cs="Times New Roman"/>
          <w:b/>
          <w:sz w:val="24"/>
          <w:szCs w:val="24"/>
        </w:rPr>
      </w:pPr>
      <w:proofErr w:type="spellStart"/>
      <w:r w:rsidRPr="002C7935">
        <w:rPr>
          <w:rFonts w:ascii="Times New Roman" w:hAnsi="Times New Roman" w:cs="Times New Roman"/>
          <w:b/>
          <w:sz w:val="24"/>
          <w:szCs w:val="24"/>
        </w:rPr>
        <w:t>Farmakokinetik</w:t>
      </w:r>
      <w:proofErr w:type="spellEnd"/>
      <w:r w:rsidRPr="002C7935">
        <w:rPr>
          <w:rFonts w:ascii="Times New Roman" w:hAnsi="Times New Roman" w:cs="Times New Roman"/>
          <w:b/>
          <w:sz w:val="24"/>
          <w:szCs w:val="24"/>
        </w:rPr>
        <w:t xml:space="preserve"> Çalışmalar</w:t>
      </w:r>
    </w:p>
    <w:p w14:paraId="6758AFAE" w14:textId="77777777" w:rsidR="00336B38" w:rsidRPr="002C7935" w:rsidRDefault="00336B38" w:rsidP="00336B38">
      <w:pPr>
        <w:ind w:right="-567"/>
        <w:jc w:val="both"/>
        <w:rPr>
          <w:rFonts w:ascii="Times New Roman" w:hAnsi="Times New Roman" w:cs="Times New Roman"/>
          <w:sz w:val="24"/>
          <w:szCs w:val="24"/>
        </w:rPr>
      </w:pPr>
      <w:r w:rsidRPr="008C24BD">
        <w:rPr>
          <w:rFonts w:ascii="Times New Roman" w:hAnsi="Times New Roman" w:cs="Times New Roman"/>
          <w:b/>
          <w:sz w:val="24"/>
          <w:szCs w:val="24"/>
        </w:rPr>
        <w:t>MADDE 1</w:t>
      </w:r>
      <w:r>
        <w:rPr>
          <w:rFonts w:ascii="Times New Roman" w:hAnsi="Times New Roman" w:cs="Times New Roman"/>
          <w:b/>
          <w:sz w:val="24"/>
          <w:szCs w:val="24"/>
        </w:rPr>
        <w:t>9</w:t>
      </w:r>
      <w:r w:rsidRPr="002C79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7935">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2C7935">
        <w:rPr>
          <w:rFonts w:ascii="Times New Roman" w:hAnsi="Times New Roman" w:cs="Times New Roman"/>
          <w:sz w:val="24"/>
          <w:szCs w:val="24"/>
        </w:rPr>
        <w:t>Bu  çalışmalar</w:t>
      </w:r>
      <w:proofErr w:type="gram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  ile 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ürün  arasında  klinik karşılaştırma   çalışmalarının  temelini  oluşturur.</w:t>
      </w:r>
    </w:p>
    <w:p w14:paraId="50588C0A" w14:textId="77777777" w:rsidR="00336B38" w:rsidRPr="002C7935" w:rsidRDefault="00336B38" w:rsidP="00336B38">
      <w:pPr>
        <w:ind w:right="-567"/>
        <w:jc w:val="both"/>
        <w:rPr>
          <w:rFonts w:ascii="Times New Roman" w:hAnsi="Times New Roman" w:cs="Times New Roman"/>
          <w:sz w:val="24"/>
          <w:szCs w:val="24"/>
        </w:rPr>
      </w:pPr>
      <w:r w:rsidRPr="001F447B">
        <w:rPr>
          <w:rFonts w:ascii="Times New Roman" w:hAnsi="Times New Roman" w:cs="Times New Roman"/>
          <w:sz w:val="24"/>
          <w:szCs w:val="24"/>
        </w:rPr>
        <w:lastRenderedPageBreak/>
        <w:t>(2) FK çalışmalar;</w:t>
      </w:r>
      <w:r w:rsidRPr="002C7935">
        <w:rPr>
          <w:rFonts w:ascii="Times New Roman" w:hAnsi="Times New Roman" w:cs="Times New Roman"/>
          <w:sz w:val="24"/>
          <w:szCs w:val="24"/>
        </w:rPr>
        <w:t xml:space="preserve"> 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 için tavsiye edilen doz aralığı ve uygulama yolu ile yapılmalıdır. </w:t>
      </w:r>
    </w:p>
    <w:p w14:paraId="70012FB3" w14:textId="3DDF5CCB"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(3) FK çalışma; referans ürünün klinik </w:t>
      </w:r>
      <w:r>
        <w:rPr>
          <w:rFonts w:ascii="Times New Roman" w:hAnsi="Times New Roman" w:cs="Times New Roman"/>
          <w:sz w:val="24"/>
          <w:szCs w:val="24"/>
        </w:rPr>
        <w:t>kapsamı</w:t>
      </w:r>
      <w:r w:rsidRPr="002C7935">
        <w:rPr>
          <w:rFonts w:ascii="Times New Roman" w:hAnsi="Times New Roman" w:cs="Times New Roman"/>
          <w:sz w:val="24"/>
          <w:szCs w:val="24"/>
        </w:rPr>
        <w:t>, güvenlili</w:t>
      </w:r>
      <w:r>
        <w:rPr>
          <w:rFonts w:ascii="Times New Roman" w:hAnsi="Times New Roman" w:cs="Times New Roman"/>
          <w:sz w:val="24"/>
          <w:szCs w:val="24"/>
        </w:rPr>
        <w:t xml:space="preserve">ği </w:t>
      </w:r>
      <w:r w:rsidRPr="002C7935">
        <w:rPr>
          <w:rFonts w:ascii="Times New Roman" w:hAnsi="Times New Roman" w:cs="Times New Roman"/>
          <w:sz w:val="24"/>
          <w:szCs w:val="24"/>
        </w:rPr>
        <w:t>ve FK karakteristikle</w:t>
      </w:r>
      <w:r>
        <w:rPr>
          <w:rFonts w:ascii="Times New Roman" w:hAnsi="Times New Roman" w:cs="Times New Roman"/>
          <w:sz w:val="24"/>
          <w:szCs w:val="24"/>
        </w:rPr>
        <w:t>ri</w:t>
      </w:r>
      <w:r w:rsidRPr="002C7935">
        <w:rPr>
          <w:rFonts w:ascii="Times New Roman" w:hAnsi="Times New Roman" w:cs="Times New Roman"/>
          <w:sz w:val="24"/>
          <w:szCs w:val="24"/>
        </w:rPr>
        <w:t xml:space="preserve"> (hedef aracılı </w:t>
      </w:r>
      <w:proofErr w:type="spellStart"/>
      <w:r w:rsidRPr="002C7935">
        <w:rPr>
          <w:rFonts w:ascii="Times New Roman" w:hAnsi="Times New Roman" w:cs="Times New Roman"/>
          <w:sz w:val="24"/>
          <w:szCs w:val="24"/>
        </w:rPr>
        <w:t>klerens</w:t>
      </w:r>
      <w:proofErr w:type="spellEnd"/>
      <w:r w:rsidRPr="002C7935">
        <w:rPr>
          <w:rFonts w:ascii="Times New Roman" w:hAnsi="Times New Roman" w:cs="Times New Roman"/>
          <w:sz w:val="24"/>
          <w:szCs w:val="24"/>
        </w:rPr>
        <w:t xml:space="preserve">, doğrusal veya doğrusal olmayan FK, </w:t>
      </w:r>
      <w:proofErr w:type="spellStart"/>
      <w:r>
        <w:rPr>
          <w:rFonts w:ascii="Times New Roman" w:hAnsi="Times New Roman" w:cs="Times New Roman"/>
          <w:sz w:val="24"/>
          <w:szCs w:val="24"/>
        </w:rPr>
        <w:t>FK’nın</w:t>
      </w:r>
      <w:proofErr w:type="spellEnd"/>
      <w:r>
        <w:rPr>
          <w:rFonts w:ascii="Times New Roman" w:hAnsi="Times New Roman" w:cs="Times New Roman"/>
          <w:sz w:val="24"/>
          <w:szCs w:val="24"/>
        </w:rPr>
        <w:t xml:space="preserve"> </w:t>
      </w:r>
      <w:r w:rsidRPr="002C7935">
        <w:rPr>
          <w:rFonts w:ascii="Times New Roman" w:hAnsi="Times New Roman" w:cs="Times New Roman"/>
          <w:sz w:val="24"/>
          <w:szCs w:val="24"/>
        </w:rPr>
        <w:t>zaman bağ</w:t>
      </w:r>
      <w:r>
        <w:rPr>
          <w:rFonts w:ascii="Times New Roman" w:hAnsi="Times New Roman" w:cs="Times New Roman"/>
          <w:sz w:val="24"/>
          <w:szCs w:val="24"/>
        </w:rPr>
        <w:t>ımlılığı</w:t>
      </w:r>
      <w:r w:rsidRPr="002C7935">
        <w:rPr>
          <w:rFonts w:ascii="Times New Roman" w:hAnsi="Times New Roman" w:cs="Times New Roman"/>
          <w:sz w:val="24"/>
          <w:szCs w:val="24"/>
        </w:rPr>
        <w:t>, yarılanma süresi vb.)</w:t>
      </w:r>
      <w:r>
        <w:rPr>
          <w:rFonts w:ascii="Times New Roman" w:hAnsi="Times New Roman" w:cs="Times New Roman"/>
          <w:sz w:val="24"/>
          <w:szCs w:val="24"/>
        </w:rPr>
        <w:t xml:space="preserve"> temelinde ve</w:t>
      </w:r>
      <w:r w:rsidRPr="002C7935">
        <w:rPr>
          <w:rFonts w:ascii="Times New Roman" w:hAnsi="Times New Roman" w:cs="Times New Roman"/>
          <w:sz w:val="24"/>
          <w:szCs w:val="24"/>
        </w:rPr>
        <w:t xml:space="preserve"> </w:t>
      </w:r>
      <w:r w:rsidR="009072E5">
        <w:rPr>
          <w:rFonts w:ascii="Times New Roman" w:hAnsi="Times New Roman" w:cs="Times New Roman"/>
          <w:sz w:val="24"/>
          <w:szCs w:val="24"/>
        </w:rPr>
        <w:t>“</w:t>
      </w:r>
      <w:proofErr w:type="spellStart"/>
      <w:r w:rsidR="009072E5">
        <w:rPr>
          <w:rFonts w:ascii="Times New Roman" w:hAnsi="Times New Roman" w:cs="Times New Roman"/>
          <w:sz w:val="24"/>
          <w:szCs w:val="24"/>
        </w:rPr>
        <w:t>Terapötik</w:t>
      </w:r>
      <w:proofErr w:type="spellEnd"/>
      <w:r w:rsidR="009072E5">
        <w:rPr>
          <w:rFonts w:ascii="Times New Roman" w:hAnsi="Times New Roman" w:cs="Times New Roman"/>
          <w:sz w:val="24"/>
          <w:szCs w:val="24"/>
        </w:rPr>
        <w:t xml:space="preserve"> Proteinlerin </w:t>
      </w:r>
      <w:proofErr w:type="spellStart"/>
      <w:r w:rsidR="009072E5">
        <w:rPr>
          <w:rFonts w:ascii="Times New Roman" w:hAnsi="Times New Roman" w:cs="Times New Roman"/>
          <w:sz w:val="24"/>
          <w:szCs w:val="24"/>
        </w:rPr>
        <w:t>Farmakokinetiğinin</w:t>
      </w:r>
      <w:proofErr w:type="spellEnd"/>
      <w:r w:rsidR="009072E5">
        <w:rPr>
          <w:rFonts w:ascii="Times New Roman" w:hAnsi="Times New Roman" w:cs="Times New Roman"/>
          <w:sz w:val="24"/>
          <w:szCs w:val="24"/>
        </w:rPr>
        <w:t xml:space="preserve"> Klinik Araştırması Hakkında K</w:t>
      </w:r>
      <w:r w:rsidRPr="00E32248">
        <w:rPr>
          <w:rFonts w:ascii="Times New Roman" w:hAnsi="Times New Roman" w:cs="Times New Roman"/>
          <w:sz w:val="24"/>
          <w:szCs w:val="24"/>
        </w:rPr>
        <w:t xml:space="preserve">ılavuz” (CHMP/EWP/89249/2004) </w:t>
      </w:r>
      <w:proofErr w:type="gramStart"/>
      <w:r w:rsidRPr="00E32248">
        <w:rPr>
          <w:rFonts w:ascii="Times New Roman" w:hAnsi="Times New Roman" w:cs="Times New Roman"/>
          <w:sz w:val="24"/>
          <w:szCs w:val="24"/>
        </w:rPr>
        <w:t>ve,</w:t>
      </w:r>
      <w:proofErr w:type="gramEnd"/>
      <w:r w:rsidRPr="00E32248">
        <w:rPr>
          <w:rFonts w:ascii="Times New Roman" w:hAnsi="Times New Roman" w:cs="Times New Roman"/>
          <w:sz w:val="24"/>
          <w:szCs w:val="24"/>
        </w:rPr>
        <w:t xml:space="preserve"> “</w:t>
      </w:r>
      <w:proofErr w:type="spellStart"/>
      <w:r w:rsidRPr="00E32248">
        <w:rPr>
          <w:rFonts w:ascii="Times New Roman" w:hAnsi="Times New Roman" w:cs="Times New Roman"/>
          <w:sz w:val="24"/>
          <w:szCs w:val="24"/>
        </w:rPr>
        <w:t>B</w:t>
      </w:r>
      <w:r w:rsidR="009072E5">
        <w:rPr>
          <w:rFonts w:ascii="Times New Roman" w:hAnsi="Times New Roman" w:cs="Times New Roman"/>
          <w:sz w:val="24"/>
          <w:szCs w:val="24"/>
        </w:rPr>
        <w:t>iyoyararlanım</w:t>
      </w:r>
      <w:proofErr w:type="spellEnd"/>
      <w:r w:rsidR="009072E5">
        <w:rPr>
          <w:rFonts w:ascii="Times New Roman" w:hAnsi="Times New Roman" w:cs="Times New Roman"/>
          <w:sz w:val="24"/>
          <w:szCs w:val="24"/>
        </w:rPr>
        <w:t>/</w:t>
      </w:r>
      <w:proofErr w:type="spellStart"/>
      <w:r w:rsidR="009072E5">
        <w:rPr>
          <w:rFonts w:ascii="Times New Roman" w:hAnsi="Times New Roman" w:cs="Times New Roman"/>
          <w:sz w:val="24"/>
          <w:szCs w:val="24"/>
        </w:rPr>
        <w:t>Biyoeşdeğerliğin</w:t>
      </w:r>
      <w:proofErr w:type="spellEnd"/>
      <w:r w:rsidR="009072E5">
        <w:rPr>
          <w:rFonts w:ascii="Times New Roman" w:hAnsi="Times New Roman" w:cs="Times New Roman"/>
          <w:sz w:val="24"/>
          <w:szCs w:val="24"/>
        </w:rPr>
        <w:t xml:space="preserve"> D</w:t>
      </w:r>
      <w:r w:rsidRPr="00E32248">
        <w:rPr>
          <w:rFonts w:ascii="Times New Roman" w:hAnsi="Times New Roman" w:cs="Times New Roman"/>
          <w:sz w:val="24"/>
          <w:szCs w:val="24"/>
        </w:rPr>
        <w:t>eğe</w:t>
      </w:r>
      <w:r w:rsidR="009072E5">
        <w:rPr>
          <w:rFonts w:ascii="Times New Roman" w:hAnsi="Times New Roman" w:cs="Times New Roman"/>
          <w:sz w:val="24"/>
          <w:szCs w:val="24"/>
        </w:rPr>
        <w:t>rlendirilmesi Hakkında K</w:t>
      </w:r>
      <w:r w:rsidR="00E32248">
        <w:rPr>
          <w:rFonts w:ascii="Times New Roman" w:hAnsi="Times New Roman" w:cs="Times New Roman"/>
          <w:sz w:val="24"/>
          <w:szCs w:val="24"/>
        </w:rPr>
        <w:t xml:space="preserve">ılavuz </w:t>
      </w:r>
      <w:r w:rsidRPr="00E32248">
        <w:rPr>
          <w:rFonts w:ascii="Times New Roman" w:hAnsi="Times New Roman" w:cs="Times New Roman"/>
          <w:sz w:val="24"/>
          <w:szCs w:val="24"/>
        </w:rPr>
        <w:t xml:space="preserve">”da özetlenen şekilde tasarlanmalıdır. Ayrıca </w:t>
      </w:r>
      <w:proofErr w:type="spellStart"/>
      <w:r w:rsidRPr="00E32248">
        <w:rPr>
          <w:rFonts w:ascii="Times New Roman" w:hAnsi="Times New Roman" w:cs="Times New Roman"/>
          <w:sz w:val="24"/>
          <w:szCs w:val="24"/>
        </w:rPr>
        <w:t>biyoanalitik</w:t>
      </w:r>
      <w:proofErr w:type="spellEnd"/>
      <w:r w:rsidRPr="00E32248">
        <w:rPr>
          <w:rFonts w:ascii="Times New Roman" w:hAnsi="Times New Roman" w:cs="Times New Roman"/>
          <w:sz w:val="24"/>
          <w:szCs w:val="24"/>
        </w:rPr>
        <w:t xml:space="preserve"> analizler kullanım amaçlarına uygun olmalı ve </w:t>
      </w:r>
      <w:r w:rsidR="009072E5">
        <w:rPr>
          <w:rFonts w:ascii="Times New Roman" w:hAnsi="Times New Roman" w:cs="Times New Roman"/>
          <w:sz w:val="24"/>
          <w:szCs w:val="24"/>
        </w:rPr>
        <w:t>“</w:t>
      </w:r>
      <w:proofErr w:type="spellStart"/>
      <w:r w:rsidR="009072E5">
        <w:rPr>
          <w:rFonts w:ascii="Times New Roman" w:hAnsi="Times New Roman" w:cs="Times New Roman"/>
          <w:sz w:val="24"/>
          <w:szCs w:val="24"/>
        </w:rPr>
        <w:t>Biyoanalitik</w:t>
      </w:r>
      <w:proofErr w:type="spellEnd"/>
      <w:r w:rsidR="009072E5">
        <w:rPr>
          <w:rFonts w:ascii="Times New Roman" w:hAnsi="Times New Roman" w:cs="Times New Roman"/>
          <w:sz w:val="24"/>
          <w:szCs w:val="24"/>
        </w:rPr>
        <w:t xml:space="preserve"> Yöntem </w:t>
      </w:r>
      <w:proofErr w:type="spellStart"/>
      <w:r w:rsidR="009072E5">
        <w:rPr>
          <w:rFonts w:ascii="Times New Roman" w:hAnsi="Times New Roman" w:cs="Times New Roman"/>
          <w:sz w:val="24"/>
          <w:szCs w:val="24"/>
        </w:rPr>
        <w:t>Validasyonu</w:t>
      </w:r>
      <w:proofErr w:type="spellEnd"/>
      <w:r w:rsidR="009072E5">
        <w:rPr>
          <w:rFonts w:ascii="Times New Roman" w:hAnsi="Times New Roman" w:cs="Times New Roman"/>
          <w:sz w:val="24"/>
          <w:szCs w:val="24"/>
        </w:rPr>
        <w:t xml:space="preserve"> Hakkında K</w:t>
      </w:r>
      <w:r w:rsidRPr="00E32248">
        <w:rPr>
          <w:rFonts w:ascii="Times New Roman" w:hAnsi="Times New Roman" w:cs="Times New Roman"/>
          <w:sz w:val="24"/>
          <w:szCs w:val="24"/>
        </w:rPr>
        <w:t>ılavu</w:t>
      </w:r>
      <w:r w:rsidR="009072E5">
        <w:rPr>
          <w:rFonts w:ascii="Times New Roman" w:hAnsi="Times New Roman" w:cs="Times New Roman"/>
          <w:sz w:val="24"/>
          <w:szCs w:val="24"/>
        </w:rPr>
        <w:t xml:space="preserve">z” (EMEA/CHMP/EWP/192217/2009) </w:t>
      </w:r>
      <w:r w:rsidRPr="00E32248">
        <w:rPr>
          <w:rFonts w:ascii="Times New Roman" w:hAnsi="Times New Roman" w:cs="Times New Roman"/>
          <w:sz w:val="24"/>
          <w:szCs w:val="24"/>
        </w:rPr>
        <w:t>’da özetlenen</w:t>
      </w:r>
      <w:r w:rsidRPr="002C7935">
        <w:rPr>
          <w:rFonts w:ascii="Times New Roman" w:hAnsi="Times New Roman" w:cs="Times New Roman"/>
          <w:sz w:val="24"/>
          <w:szCs w:val="24"/>
        </w:rPr>
        <w:t xml:space="preserve"> şekilde yeterli düzeyde doğrulanmalıdır.</w:t>
      </w:r>
    </w:p>
    <w:p w14:paraId="788FDE95"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(4) Çalışma başlamadan önce </w:t>
      </w:r>
      <w:r>
        <w:rPr>
          <w:rFonts w:ascii="Times New Roman" w:hAnsi="Times New Roman" w:cs="Times New Roman"/>
          <w:sz w:val="24"/>
          <w:szCs w:val="24"/>
        </w:rPr>
        <w:t>temel</w:t>
      </w:r>
      <w:r w:rsidRPr="002C7935">
        <w:rPr>
          <w:rFonts w:ascii="Times New Roman" w:hAnsi="Times New Roman" w:cs="Times New Roman"/>
          <w:sz w:val="24"/>
          <w:szCs w:val="24"/>
        </w:rPr>
        <w:t xml:space="preserve"> FK parametreler için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karşılaştırılabilirlik</w:t>
      </w:r>
      <w:proofErr w:type="spellEnd"/>
      <w:r w:rsidRPr="002C7935">
        <w:rPr>
          <w:rFonts w:ascii="Times New Roman" w:hAnsi="Times New Roman" w:cs="Times New Roman"/>
          <w:sz w:val="24"/>
          <w:szCs w:val="24"/>
        </w:rPr>
        <w:t xml:space="preserve"> sınırları tanımlanmalı</w:t>
      </w:r>
      <w:r>
        <w:rPr>
          <w:rFonts w:ascii="Times New Roman" w:hAnsi="Times New Roman" w:cs="Times New Roman"/>
          <w:sz w:val="24"/>
          <w:szCs w:val="24"/>
        </w:rPr>
        <w:t xml:space="preserve"> ve gerekçelendirilmelidir</w:t>
      </w:r>
      <w:r w:rsidRPr="002C7935">
        <w:rPr>
          <w:rFonts w:ascii="Times New Roman" w:hAnsi="Times New Roman" w:cs="Times New Roman"/>
          <w:sz w:val="24"/>
          <w:szCs w:val="24"/>
        </w:rPr>
        <w:t>.</w:t>
      </w:r>
    </w:p>
    <w:p w14:paraId="425B045F"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(5) </w:t>
      </w:r>
      <w:r>
        <w:rPr>
          <w:rFonts w:ascii="Times New Roman" w:hAnsi="Times New Roman" w:cs="Times New Roman"/>
          <w:sz w:val="24"/>
          <w:szCs w:val="24"/>
        </w:rPr>
        <w:t>Ö</w:t>
      </w:r>
      <w:r w:rsidRPr="002C7935">
        <w:rPr>
          <w:rFonts w:ascii="Times New Roman" w:hAnsi="Times New Roman" w:cs="Times New Roman"/>
          <w:sz w:val="24"/>
          <w:szCs w:val="24"/>
        </w:rPr>
        <w:t xml:space="preserve">zgün </w:t>
      </w:r>
      <w:proofErr w:type="gramStart"/>
      <w:r w:rsidRPr="002C7935">
        <w:rPr>
          <w:rFonts w:ascii="Times New Roman" w:hAnsi="Times New Roman" w:cs="Times New Roman"/>
          <w:sz w:val="24"/>
          <w:szCs w:val="24"/>
        </w:rPr>
        <w:t>kriterlerin</w:t>
      </w:r>
      <w:proofErr w:type="gramEnd"/>
      <w:r w:rsidRPr="002C7935">
        <w:rPr>
          <w:rFonts w:ascii="Times New Roman" w:hAnsi="Times New Roman" w:cs="Times New Roman"/>
          <w:sz w:val="24"/>
          <w:szCs w:val="24"/>
        </w:rPr>
        <w:t xml:space="preserve"> </w:t>
      </w:r>
      <w:r>
        <w:rPr>
          <w:rFonts w:ascii="Times New Roman" w:hAnsi="Times New Roman" w:cs="Times New Roman"/>
          <w:sz w:val="24"/>
          <w:szCs w:val="24"/>
        </w:rPr>
        <w:t>olmaması durumunda b</w:t>
      </w:r>
      <w:r w:rsidRPr="002C7935">
        <w:rPr>
          <w:rFonts w:ascii="Times New Roman" w:hAnsi="Times New Roman" w:cs="Times New Roman"/>
          <w:sz w:val="24"/>
          <w:szCs w:val="24"/>
        </w:rPr>
        <w:t>iyolojik ürünlerin karşılaştırmalı FK çalışmalarının planlaması</w:t>
      </w:r>
      <w:r>
        <w:rPr>
          <w:rFonts w:ascii="Times New Roman" w:hAnsi="Times New Roman" w:cs="Times New Roman"/>
          <w:sz w:val="24"/>
          <w:szCs w:val="24"/>
        </w:rPr>
        <w:t>nda k</w:t>
      </w:r>
      <w:r w:rsidRPr="002C7935">
        <w:rPr>
          <w:rFonts w:ascii="Times New Roman" w:hAnsi="Times New Roman" w:cs="Times New Roman"/>
          <w:sz w:val="24"/>
          <w:szCs w:val="24"/>
        </w:rPr>
        <w:t>onvansiyonel ürünler için ge</w:t>
      </w:r>
      <w:r>
        <w:rPr>
          <w:rFonts w:ascii="Times New Roman" w:hAnsi="Times New Roman" w:cs="Times New Roman"/>
          <w:sz w:val="24"/>
          <w:szCs w:val="24"/>
        </w:rPr>
        <w:t xml:space="preserve">çerli </w:t>
      </w:r>
      <w:r w:rsidRPr="002C7935">
        <w:rPr>
          <w:rFonts w:ascii="Times New Roman" w:hAnsi="Times New Roman" w:cs="Times New Roman"/>
          <w:sz w:val="24"/>
          <w:szCs w:val="24"/>
        </w:rPr>
        <w:t xml:space="preserve">standart klinik </w:t>
      </w:r>
      <w:proofErr w:type="spellStart"/>
      <w:r w:rsidRPr="002C7935">
        <w:rPr>
          <w:rFonts w:ascii="Times New Roman" w:hAnsi="Times New Roman" w:cs="Times New Roman"/>
          <w:sz w:val="24"/>
          <w:szCs w:val="24"/>
        </w:rPr>
        <w:t>biyoeşdeğerlik</w:t>
      </w:r>
      <w:proofErr w:type="spellEnd"/>
      <w:r w:rsidRPr="002C7935">
        <w:rPr>
          <w:rFonts w:ascii="Times New Roman" w:hAnsi="Times New Roman" w:cs="Times New Roman"/>
          <w:sz w:val="24"/>
          <w:szCs w:val="24"/>
        </w:rPr>
        <w:t xml:space="preserve"> çalışma</w:t>
      </w:r>
      <w:r>
        <w:rPr>
          <w:rFonts w:ascii="Times New Roman" w:hAnsi="Times New Roman" w:cs="Times New Roman"/>
          <w:sz w:val="24"/>
          <w:szCs w:val="24"/>
        </w:rPr>
        <w:t>sında</w:t>
      </w:r>
      <w:r w:rsidRPr="002C7935">
        <w:rPr>
          <w:rFonts w:ascii="Times New Roman" w:hAnsi="Times New Roman" w:cs="Times New Roman"/>
          <w:sz w:val="24"/>
          <w:szCs w:val="24"/>
        </w:rPr>
        <w:t xml:space="preserve"> kullanılan kriterler uygun olabilir.</w:t>
      </w:r>
    </w:p>
    <w:p w14:paraId="38C38F4C" w14:textId="4B129D0A"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(6) Biyolojik ürünler için </w:t>
      </w:r>
      <w:proofErr w:type="spellStart"/>
      <w:r w:rsidRPr="002C7935">
        <w:rPr>
          <w:rFonts w:ascii="Times New Roman" w:hAnsi="Times New Roman" w:cs="Times New Roman"/>
          <w:sz w:val="24"/>
          <w:szCs w:val="24"/>
        </w:rPr>
        <w:t>biyoeşdeğerlik</w:t>
      </w:r>
      <w:proofErr w:type="spellEnd"/>
      <w:r w:rsidRPr="002C7935">
        <w:rPr>
          <w:rFonts w:ascii="Times New Roman" w:hAnsi="Times New Roman" w:cs="Times New Roman"/>
          <w:sz w:val="24"/>
          <w:szCs w:val="24"/>
        </w:rPr>
        <w:t xml:space="preserve"> çalışmalarının yorumu küçük moleküllere göre daha az kesindir. Çünkü küçük moleküllerin aynı olduğu değerlendirilirken</w:t>
      </w:r>
      <w:r>
        <w:rPr>
          <w:rFonts w:ascii="Times New Roman" w:hAnsi="Times New Roman" w:cs="Times New Roman"/>
          <w:sz w:val="24"/>
          <w:szCs w:val="24"/>
        </w:rPr>
        <w:t>,</w:t>
      </w:r>
      <w:r w:rsidRPr="002C7935">
        <w:rPr>
          <w:rFonts w:ascii="Times New Roman" w:hAnsi="Times New Roman" w:cs="Times New Roman"/>
          <w:sz w:val="24"/>
          <w:szCs w:val="24"/>
        </w:rPr>
        <w:t xml:space="preserve"> biyolojik ürünler için FK çalışmalar 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 ve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w:t>
      </w:r>
      <w:r w:rsidRPr="002C7935">
        <w:rPr>
          <w:rFonts w:ascii="Times New Roman" w:hAnsi="Times New Roman" w:cs="Times New Roman"/>
          <w:sz w:val="24"/>
          <w:szCs w:val="24"/>
        </w:rPr>
        <w:t xml:space="preserve"> ürünlerin vücut ile etkileşimlerinde olası farklılıkları tespit etmek için kullanılmaktadır. Bu durum,</w:t>
      </w:r>
      <w:r w:rsidRPr="001F447B">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 ve </w:t>
      </w:r>
      <w:r w:rsidRPr="002C7935">
        <w:rPr>
          <w:rFonts w:ascii="Times New Roman" w:hAnsi="Times New Roman" w:cs="Times New Roman"/>
          <w:sz w:val="24"/>
          <w:szCs w:val="24"/>
        </w:rPr>
        <w:t xml:space="preserve">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ürün</w:t>
      </w:r>
      <w:r>
        <w:rPr>
          <w:rFonts w:ascii="Times New Roman" w:hAnsi="Times New Roman" w:cs="Times New Roman"/>
          <w:sz w:val="24"/>
          <w:szCs w:val="24"/>
        </w:rPr>
        <w:t xml:space="preserve"> </w:t>
      </w:r>
      <w:r w:rsidRPr="002C7935">
        <w:rPr>
          <w:rFonts w:ascii="Times New Roman" w:hAnsi="Times New Roman" w:cs="Times New Roman"/>
          <w:sz w:val="24"/>
          <w:szCs w:val="24"/>
        </w:rPr>
        <w:t xml:space="preserve">oranlarının </w:t>
      </w:r>
      <w:r w:rsidRPr="00AB2BCD">
        <w:rPr>
          <w:rFonts w:ascii="Times New Roman" w:hAnsi="Times New Roman" w:cs="Times New Roman"/>
          <w:sz w:val="24"/>
          <w:szCs w:val="24"/>
        </w:rPr>
        <w:t>% 90 güven aralıklarını</w:t>
      </w:r>
      <w:r w:rsidRPr="002C7935">
        <w:rPr>
          <w:rFonts w:ascii="Times New Roman" w:hAnsi="Times New Roman" w:cs="Times New Roman"/>
          <w:sz w:val="24"/>
          <w:szCs w:val="24"/>
        </w:rPr>
        <w:t xml:space="preserve"> </w:t>
      </w:r>
      <w:r w:rsidR="00494397">
        <w:rPr>
          <w:rFonts w:ascii="Times New Roman" w:hAnsi="Times New Roman" w:cs="Times New Roman"/>
          <w:sz w:val="24"/>
          <w:szCs w:val="24"/>
        </w:rPr>
        <w:t>(</w:t>
      </w:r>
      <w:proofErr w:type="spellStart"/>
      <w:r w:rsidR="00494397">
        <w:rPr>
          <w:rFonts w:ascii="Times New Roman" w:hAnsi="Times New Roman" w:cs="Times New Roman"/>
          <w:sz w:val="24"/>
          <w:szCs w:val="24"/>
        </w:rPr>
        <w:t>Confidence</w:t>
      </w:r>
      <w:proofErr w:type="spellEnd"/>
      <w:r w:rsidR="00494397">
        <w:rPr>
          <w:rFonts w:ascii="Times New Roman" w:hAnsi="Times New Roman" w:cs="Times New Roman"/>
          <w:sz w:val="24"/>
          <w:szCs w:val="24"/>
        </w:rPr>
        <w:t xml:space="preserve"> </w:t>
      </w:r>
      <w:proofErr w:type="spellStart"/>
      <w:r w:rsidR="00494397">
        <w:rPr>
          <w:rFonts w:ascii="Times New Roman" w:hAnsi="Times New Roman" w:cs="Times New Roman"/>
          <w:sz w:val="24"/>
          <w:szCs w:val="24"/>
        </w:rPr>
        <w:t>interval</w:t>
      </w:r>
      <w:proofErr w:type="spellEnd"/>
      <w:r w:rsidR="00494397">
        <w:rPr>
          <w:rFonts w:ascii="Times New Roman" w:hAnsi="Times New Roman" w:cs="Times New Roman"/>
          <w:sz w:val="24"/>
          <w:szCs w:val="24"/>
        </w:rPr>
        <w:t>-</w:t>
      </w:r>
      <w:r>
        <w:rPr>
          <w:rFonts w:ascii="Times New Roman" w:hAnsi="Times New Roman" w:cs="Times New Roman"/>
          <w:sz w:val="24"/>
          <w:szCs w:val="24"/>
        </w:rPr>
        <w:t xml:space="preserve">CI) </w:t>
      </w:r>
      <w:r w:rsidRPr="002C7935">
        <w:rPr>
          <w:rFonts w:ascii="Times New Roman" w:hAnsi="Times New Roman" w:cs="Times New Roman"/>
          <w:sz w:val="24"/>
          <w:szCs w:val="24"/>
        </w:rPr>
        <w:t>önceden belirlenmiş</w:t>
      </w:r>
      <w:r>
        <w:rPr>
          <w:rFonts w:ascii="Times New Roman" w:hAnsi="Times New Roman" w:cs="Times New Roman"/>
          <w:sz w:val="24"/>
          <w:szCs w:val="24"/>
        </w:rPr>
        <w:t xml:space="preserve"> ve </w:t>
      </w:r>
      <w:r w:rsidRPr="002C7935">
        <w:rPr>
          <w:rFonts w:ascii="Times New Roman" w:hAnsi="Times New Roman" w:cs="Times New Roman"/>
          <w:sz w:val="24"/>
          <w:szCs w:val="24"/>
        </w:rPr>
        <w:t>gerekçelendirilmiş bir kabul aralığında</w:t>
      </w:r>
      <w:r>
        <w:rPr>
          <w:rFonts w:ascii="Times New Roman" w:hAnsi="Times New Roman" w:cs="Times New Roman"/>
          <w:sz w:val="24"/>
          <w:szCs w:val="24"/>
        </w:rPr>
        <w:t xml:space="preserve"> </w:t>
      </w:r>
      <w:r w:rsidRPr="002C7935">
        <w:rPr>
          <w:rFonts w:ascii="Times New Roman" w:hAnsi="Times New Roman" w:cs="Times New Roman"/>
          <w:sz w:val="24"/>
          <w:szCs w:val="24"/>
        </w:rPr>
        <w:t xml:space="preserve">gözlemlemenin, tek başına yeterli olmayabileceği anlamına gelmektedir. Benzerliğin yorumlanmasında güven aralığının konumu ve genişliği de dikkate alınmalıdır. Örneğin, </w:t>
      </w:r>
      <w:proofErr w:type="spellStart"/>
      <w:r>
        <w:rPr>
          <w:rFonts w:ascii="Times New Roman" w:hAnsi="Times New Roman" w:cs="Times New Roman"/>
          <w:sz w:val="24"/>
          <w:szCs w:val="24"/>
        </w:rPr>
        <w:t>biyobenzerliğin</w:t>
      </w:r>
      <w:proofErr w:type="spellEnd"/>
      <w:r>
        <w:rPr>
          <w:rFonts w:ascii="Times New Roman" w:hAnsi="Times New Roman" w:cs="Times New Roman"/>
          <w:sz w:val="24"/>
          <w:szCs w:val="24"/>
        </w:rPr>
        <w:t xml:space="preserve"> dışlanmaması için, </w:t>
      </w:r>
      <w:r w:rsidRPr="002C7935">
        <w:rPr>
          <w:rFonts w:ascii="Times New Roman" w:hAnsi="Times New Roman" w:cs="Times New Roman"/>
          <w:sz w:val="24"/>
          <w:szCs w:val="24"/>
        </w:rPr>
        <w:t>ilgili FK parametreler</w:t>
      </w:r>
      <w:r>
        <w:rPr>
          <w:rFonts w:ascii="Times New Roman" w:hAnsi="Times New Roman" w:cs="Times New Roman"/>
          <w:sz w:val="24"/>
          <w:szCs w:val="24"/>
        </w:rPr>
        <w:t xml:space="preserve">de, </w:t>
      </w:r>
      <w:proofErr w:type="gramStart"/>
      <w:r w:rsidRPr="002C7935">
        <w:rPr>
          <w:rFonts w:ascii="Times New Roman" w:hAnsi="Times New Roman" w:cs="Times New Roman"/>
          <w:sz w:val="24"/>
          <w:szCs w:val="24"/>
        </w:rPr>
        <w:t>kabul  aralı</w:t>
      </w:r>
      <w:r>
        <w:rPr>
          <w:rFonts w:ascii="Times New Roman" w:hAnsi="Times New Roman" w:cs="Times New Roman"/>
          <w:sz w:val="24"/>
          <w:szCs w:val="24"/>
        </w:rPr>
        <w:t>ğı</w:t>
      </w:r>
      <w:proofErr w:type="gramEnd"/>
      <w:r>
        <w:rPr>
          <w:rFonts w:ascii="Times New Roman" w:hAnsi="Times New Roman" w:cs="Times New Roman"/>
          <w:sz w:val="24"/>
          <w:szCs w:val="24"/>
        </w:rPr>
        <w:t xml:space="preserve"> içerisinde </w:t>
      </w:r>
      <w:r w:rsidRPr="00AB2BCD">
        <w:rPr>
          <w:rFonts w:ascii="Times New Roman" w:hAnsi="Times New Roman" w:cs="Times New Roman"/>
          <w:sz w:val="24"/>
          <w:szCs w:val="24"/>
        </w:rPr>
        <w:t xml:space="preserve">%90 </w:t>
      </w:r>
      <w:proofErr w:type="spellStart"/>
      <w:r w:rsidRPr="00AB2BCD">
        <w:rPr>
          <w:rFonts w:ascii="Times New Roman" w:hAnsi="Times New Roman" w:cs="Times New Roman"/>
          <w:sz w:val="24"/>
          <w:szCs w:val="24"/>
        </w:rPr>
        <w:t>CI’daki</w:t>
      </w:r>
      <w:proofErr w:type="spellEnd"/>
      <w:r w:rsidRPr="00AB2BCD">
        <w:rPr>
          <w:rFonts w:ascii="Times New Roman" w:hAnsi="Times New Roman" w:cs="Times New Roman"/>
          <w:sz w:val="24"/>
          <w:szCs w:val="24"/>
        </w:rPr>
        <w:t xml:space="preserve"> istatistiksel anlamlı farklılıkların açıklanması ve gerekçelendirilmesi gerekecektir.  Diğer taraftan, eğer %90 CI önceden</w:t>
      </w:r>
      <w:r w:rsidRPr="002C7935">
        <w:rPr>
          <w:rFonts w:ascii="Times New Roman" w:hAnsi="Times New Roman" w:cs="Times New Roman"/>
          <w:sz w:val="24"/>
          <w:szCs w:val="24"/>
        </w:rPr>
        <w:t xml:space="preserve"> belirlenmiş sınırları aşıyorsa, baş</w:t>
      </w:r>
      <w:r w:rsidRPr="001F447B">
        <w:rPr>
          <w:rFonts w:ascii="Times New Roman" w:hAnsi="Times New Roman" w:cs="Times New Roman"/>
          <w:sz w:val="24"/>
          <w:szCs w:val="24"/>
        </w:rPr>
        <w:t xml:space="preserve">vuru sahibi bu farklılığın kök </w:t>
      </w:r>
      <w:r w:rsidRPr="002C7935">
        <w:rPr>
          <w:rFonts w:ascii="Times New Roman" w:hAnsi="Times New Roman" w:cs="Times New Roman"/>
          <w:sz w:val="24"/>
          <w:szCs w:val="24"/>
        </w:rPr>
        <w:t xml:space="preserve">nedenlerini araştırmalı ve açıklamalıdır. </w:t>
      </w:r>
      <w:r>
        <w:rPr>
          <w:rFonts w:ascii="Times New Roman" w:hAnsi="Times New Roman" w:cs="Times New Roman"/>
          <w:sz w:val="24"/>
          <w:szCs w:val="24"/>
        </w:rPr>
        <w:t>Ö</w:t>
      </w:r>
      <w:r w:rsidRPr="002C7935">
        <w:rPr>
          <w:rFonts w:ascii="Times New Roman" w:hAnsi="Times New Roman" w:cs="Times New Roman"/>
          <w:sz w:val="24"/>
          <w:szCs w:val="24"/>
        </w:rPr>
        <w:t xml:space="preserve">nceden belirlenmiş ve yeterli düzeyde gerekçelendirilmiş ise, </w:t>
      </w:r>
      <w:r>
        <w:rPr>
          <w:rFonts w:ascii="Times New Roman" w:hAnsi="Times New Roman" w:cs="Times New Roman"/>
          <w:sz w:val="24"/>
          <w:szCs w:val="24"/>
        </w:rPr>
        <w:t xml:space="preserve">çalışma </w:t>
      </w:r>
      <w:r w:rsidRPr="002C7935">
        <w:rPr>
          <w:rFonts w:ascii="Times New Roman" w:hAnsi="Times New Roman" w:cs="Times New Roman"/>
          <w:sz w:val="24"/>
          <w:szCs w:val="24"/>
        </w:rPr>
        <w:t>protokolün</w:t>
      </w:r>
      <w:r>
        <w:rPr>
          <w:rFonts w:ascii="Times New Roman" w:hAnsi="Times New Roman" w:cs="Times New Roman"/>
          <w:sz w:val="24"/>
          <w:szCs w:val="24"/>
        </w:rPr>
        <w:t>de yer alan</w:t>
      </w:r>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w:t>
      </w:r>
      <w:r w:rsidRPr="002C7935">
        <w:rPr>
          <w:rFonts w:ascii="Times New Roman" w:hAnsi="Times New Roman" w:cs="Times New Roman"/>
          <w:sz w:val="24"/>
          <w:szCs w:val="24"/>
        </w:rPr>
        <w:t xml:space="preserve"> ve 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ürün analiz sonuçlar</w:t>
      </w:r>
      <w:r w:rsidR="009B56AC">
        <w:rPr>
          <w:rFonts w:ascii="Times New Roman" w:hAnsi="Times New Roman" w:cs="Times New Roman"/>
          <w:sz w:val="24"/>
          <w:szCs w:val="24"/>
        </w:rPr>
        <w:t>ı</w:t>
      </w:r>
      <w:r w:rsidRPr="002C7935">
        <w:rPr>
          <w:rFonts w:ascii="Times New Roman" w:hAnsi="Times New Roman" w:cs="Times New Roman"/>
          <w:sz w:val="24"/>
          <w:szCs w:val="24"/>
        </w:rPr>
        <w:t xml:space="preserve"> ile birlikte, vaka bazında protein içeriği için bir düzeltme kabul edilebilir.</w:t>
      </w:r>
    </w:p>
    <w:p w14:paraId="415D27D5"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(7) </w:t>
      </w:r>
      <w:r>
        <w:rPr>
          <w:rFonts w:ascii="Times New Roman" w:hAnsi="Times New Roman" w:cs="Times New Roman"/>
          <w:sz w:val="24"/>
          <w:szCs w:val="24"/>
        </w:rPr>
        <w:t>H</w:t>
      </w:r>
      <w:r w:rsidRPr="002C7935">
        <w:rPr>
          <w:rFonts w:ascii="Times New Roman" w:hAnsi="Times New Roman" w:cs="Times New Roman"/>
          <w:sz w:val="24"/>
          <w:szCs w:val="24"/>
        </w:rPr>
        <w:t xml:space="preserve">edef aracılı </w:t>
      </w:r>
      <w:proofErr w:type="spellStart"/>
      <w:r w:rsidRPr="002C7935">
        <w:rPr>
          <w:rFonts w:ascii="Times New Roman" w:hAnsi="Times New Roman" w:cs="Times New Roman"/>
          <w:sz w:val="24"/>
          <w:szCs w:val="24"/>
        </w:rPr>
        <w:t>kleren</w:t>
      </w:r>
      <w:r>
        <w:rPr>
          <w:rFonts w:ascii="Times New Roman" w:hAnsi="Times New Roman" w:cs="Times New Roman"/>
          <w:sz w:val="24"/>
          <w:szCs w:val="24"/>
        </w:rPr>
        <w:t>s</w:t>
      </w:r>
      <w:proofErr w:type="spellEnd"/>
      <w:r w:rsidRPr="002C7935">
        <w:rPr>
          <w:rFonts w:ascii="Times New Roman" w:hAnsi="Times New Roman" w:cs="Times New Roman"/>
          <w:sz w:val="24"/>
          <w:szCs w:val="24"/>
        </w:rPr>
        <w:t xml:space="preserve"> karşılaştır</w:t>
      </w:r>
      <w:r>
        <w:rPr>
          <w:rFonts w:ascii="Times New Roman" w:hAnsi="Times New Roman" w:cs="Times New Roman"/>
          <w:sz w:val="24"/>
          <w:szCs w:val="24"/>
        </w:rPr>
        <w:t xml:space="preserve">masının </w:t>
      </w:r>
      <w:proofErr w:type="spellStart"/>
      <w:r w:rsidRPr="002C7935">
        <w:rPr>
          <w:rFonts w:ascii="Times New Roman" w:hAnsi="Times New Roman" w:cs="Times New Roman"/>
          <w:sz w:val="24"/>
          <w:szCs w:val="24"/>
        </w:rPr>
        <w:t>biyobenzerlik</w:t>
      </w:r>
      <w:proofErr w:type="spellEnd"/>
      <w:r w:rsidRPr="002C7935">
        <w:rPr>
          <w:rFonts w:ascii="Times New Roman" w:hAnsi="Times New Roman" w:cs="Times New Roman"/>
          <w:sz w:val="24"/>
          <w:szCs w:val="24"/>
        </w:rPr>
        <w:t xml:space="preserve"> çalışmasında </w:t>
      </w:r>
      <w:r>
        <w:rPr>
          <w:rFonts w:ascii="Times New Roman" w:hAnsi="Times New Roman" w:cs="Times New Roman"/>
          <w:sz w:val="24"/>
          <w:szCs w:val="24"/>
        </w:rPr>
        <w:t>önemi bilinmekle birlikte</w:t>
      </w:r>
      <w:r w:rsidRPr="002C7935">
        <w:rPr>
          <w:rFonts w:ascii="Times New Roman" w:hAnsi="Times New Roman" w:cs="Times New Roman"/>
          <w:sz w:val="24"/>
          <w:szCs w:val="24"/>
        </w:rPr>
        <w:t xml:space="preserve">, </w:t>
      </w:r>
      <w:r>
        <w:rPr>
          <w:rFonts w:ascii="Times New Roman" w:hAnsi="Times New Roman" w:cs="Times New Roman"/>
          <w:sz w:val="24"/>
          <w:szCs w:val="24"/>
        </w:rPr>
        <w:t xml:space="preserve">hastalarda bu tür karşılaştırma çalışmalarının yapılması </w:t>
      </w:r>
      <w:r w:rsidRPr="002C7935">
        <w:rPr>
          <w:rFonts w:ascii="Times New Roman" w:hAnsi="Times New Roman" w:cs="Times New Roman"/>
          <w:sz w:val="24"/>
          <w:szCs w:val="24"/>
        </w:rPr>
        <w:t xml:space="preserve">zaman içindeki değişkenlik de </w:t>
      </w:r>
      <w:proofErr w:type="gramStart"/>
      <w:r w:rsidRPr="002C7935">
        <w:rPr>
          <w:rFonts w:ascii="Times New Roman" w:hAnsi="Times New Roman" w:cs="Times New Roman"/>
          <w:sz w:val="24"/>
          <w:szCs w:val="24"/>
        </w:rPr>
        <w:t>dahil</w:t>
      </w:r>
      <w:proofErr w:type="gramEnd"/>
      <w:r w:rsidRPr="002C7935">
        <w:rPr>
          <w:rFonts w:ascii="Times New Roman" w:hAnsi="Times New Roman" w:cs="Times New Roman"/>
          <w:sz w:val="24"/>
          <w:szCs w:val="24"/>
        </w:rPr>
        <w:t xml:space="preserve"> olmak üzere,</w:t>
      </w:r>
      <w:r w:rsidRPr="001F447B">
        <w:rPr>
          <w:rFonts w:ascii="Times New Roman" w:hAnsi="Times New Roman" w:cs="Times New Roman"/>
          <w:sz w:val="24"/>
          <w:szCs w:val="24"/>
        </w:rPr>
        <w:t xml:space="preserve"> </w:t>
      </w:r>
      <w:r w:rsidRPr="002C7935">
        <w:rPr>
          <w:rFonts w:ascii="Times New Roman" w:hAnsi="Times New Roman" w:cs="Times New Roman"/>
          <w:sz w:val="24"/>
          <w:szCs w:val="24"/>
        </w:rPr>
        <w:t xml:space="preserve">hedef ekspresyonundaki büyük değişkenlik nedeniyle </w:t>
      </w:r>
      <w:r>
        <w:rPr>
          <w:rFonts w:ascii="Times New Roman" w:hAnsi="Times New Roman" w:cs="Times New Roman"/>
          <w:sz w:val="24"/>
          <w:szCs w:val="24"/>
        </w:rPr>
        <w:t xml:space="preserve">mümkün </w:t>
      </w:r>
      <w:r w:rsidRPr="002C7935">
        <w:rPr>
          <w:rFonts w:ascii="Times New Roman" w:hAnsi="Times New Roman" w:cs="Times New Roman"/>
          <w:sz w:val="24"/>
          <w:szCs w:val="24"/>
        </w:rPr>
        <w:t xml:space="preserve">olmayabilir. </w:t>
      </w:r>
    </w:p>
    <w:p w14:paraId="2DCDEC53" w14:textId="77777777" w:rsidR="00336B38" w:rsidRPr="002C7935" w:rsidRDefault="00336B38" w:rsidP="00336B38">
      <w:pPr>
        <w:ind w:right="-567"/>
        <w:jc w:val="both"/>
        <w:rPr>
          <w:rFonts w:ascii="Times New Roman" w:hAnsi="Times New Roman" w:cs="Times New Roman"/>
          <w:sz w:val="24"/>
          <w:szCs w:val="24"/>
        </w:rPr>
      </w:pPr>
      <w:r>
        <w:rPr>
          <w:rFonts w:ascii="Times New Roman" w:hAnsi="Times New Roman" w:cs="Times New Roman"/>
          <w:sz w:val="24"/>
          <w:szCs w:val="24"/>
        </w:rPr>
        <w:t>Bununla birlikte,</w:t>
      </w:r>
      <w:r w:rsidRPr="002C7935">
        <w:rPr>
          <w:rFonts w:ascii="Times New Roman" w:hAnsi="Times New Roman" w:cs="Times New Roman"/>
          <w:sz w:val="24"/>
          <w:szCs w:val="24"/>
        </w:rPr>
        <w:t xml:space="preserve"> </w:t>
      </w:r>
      <w:r w:rsidRPr="008C24BD">
        <w:rPr>
          <w:rFonts w:ascii="Times New Roman" w:hAnsi="Times New Roman" w:cs="Times New Roman"/>
          <w:i/>
          <w:sz w:val="24"/>
          <w:szCs w:val="24"/>
        </w:rPr>
        <w:t xml:space="preserve">in </w:t>
      </w:r>
      <w:proofErr w:type="spellStart"/>
      <w:r w:rsidRPr="008C24BD">
        <w:rPr>
          <w:rFonts w:ascii="Times New Roman" w:hAnsi="Times New Roman" w:cs="Times New Roman"/>
          <w:i/>
          <w:sz w:val="24"/>
          <w:szCs w:val="24"/>
        </w:rPr>
        <w:t>vitro</w:t>
      </w:r>
      <w:proofErr w:type="spellEnd"/>
      <w:r w:rsidRPr="002C7935">
        <w:rPr>
          <w:rFonts w:ascii="Times New Roman" w:hAnsi="Times New Roman" w:cs="Times New Roman"/>
          <w:sz w:val="24"/>
          <w:szCs w:val="24"/>
        </w:rPr>
        <w:t xml:space="preserve"> çalışmaların,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ürün ile </w:t>
      </w:r>
      <w:r w:rsidRPr="002C7935">
        <w:rPr>
          <w:rFonts w:ascii="Times New Roman" w:hAnsi="Times New Roman" w:cs="Times New Roman"/>
          <w:sz w:val="24"/>
          <w:szCs w:val="24"/>
        </w:rPr>
        <w:t>hedef(</w:t>
      </w:r>
      <w:proofErr w:type="spellStart"/>
      <w:r w:rsidRPr="002C7935">
        <w:rPr>
          <w:rFonts w:ascii="Times New Roman" w:hAnsi="Times New Roman" w:cs="Times New Roman"/>
          <w:sz w:val="24"/>
          <w:szCs w:val="24"/>
        </w:rPr>
        <w:t>ler</w:t>
      </w:r>
      <w:proofErr w:type="spellEnd"/>
      <w:r w:rsidRPr="002C7935">
        <w:rPr>
          <w:rFonts w:ascii="Times New Roman" w:hAnsi="Times New Roman" w:cs="Times New Roman"/>
          <w:sz w:val="24"/>
          <w:szCs w:val="24"/>
        </w:rPr>
        <w:t xml:space="preserve">)i arasında (bir </w:t>
      </w:r>
      <w:proofErr w:type="spellStart"/>
      <w:r w:rsidRPr="002C7935">
        <w:rPr>
          <w:rFonts w:ascii="Times New Roman" w:hAnsi="Times New Roman" w:cs="Times New Roman"/>
          <w:sz w:val="24"/>
          <w:szCs w:val="24"/>
        </w:rPr>
        <w:t>monoklonal</w:t>
      </w:r>
      <w:proofErr w:type="spellEnd"/>
      <w:r w:rsidRPr="002C7935">
        <w:rPr>
          <w:rFonts w:ascii="Times New Roman" w:hAnsi="Times New Roman" w:cs="Times New Roman"/>
          <w:sz w:val="24"/>
          <w:szCs w:val="24"/>
        </w:rPr>
        <w:t xml:space="preserve"> antikor için </w:t>
      </w:r>
      <w:proofErr w:type="spellStart"/>
      <w:r w:rsidRPr="002C7935">
        <w:rPr>
          <w:rFonts w:ascii="Times New Roman" w:hAnsi="Times New Roman" w:cs="Times New Roman"/>
          <w:sz w:val="24"/>
          <w:szCs w:val="24"/>
        </w:rPr>
        <w:t>FcRn</w:t>
      </w:r>
      <w:proofErr w:type="spellEnd"/>
      <w:r w:rsidRPr="002C7935">
        <w:rPr>
          <w:rFonts w:ascii="Times New Roman" w:hAnsi="Times New Roman" w:cs="Times New Roman"/>
          <w:sz w:val="24"/>
          <w:szCs w:val="24"/>
        </w:rPr>
        <w:t xml:space="preserve"> </w:t>
      </w:r>
      <w:proofErr w:type="gramStart"/>
      <w:r w:rsidRPr="002C7935">
        <w:rPr>
          <w:rFonts w:ascii="Times New Roman" w:hAnsi="Times New Roman" w:cs="Times New Roman"/>
          <w:sz w:val="24"/>
          <w:szCs w:val="24"/>
        </w:rPr>
        <w:t>dahil</w:t>
      </w:r>
      <w:proofErr w:type="gramEnd"/>
      <w:r w:rsidRPr="002C7935">
        <w:rPr>
          <w:rFonts w:ascii="Times New Roman" w:hAnsi="Times New Roman" w:cs="Times New Roman"/>
          <w:sz w:val="24"/>
          <w:szCs w:val="24"/>
        </w:rPr>
        <w:t xml:space="preserve"> olmak üzere)</w:t>
      </w:r>
      <w:r w:rsidRPr="001F447B">
        <w:rPr>
          <w:rFonts w:ascii="Times New Roman" w:hAnsi="Times New Roman" w:cs="Times New Roman"/>
          <w:sz w:val="24"/>
          <w:szCs w:val="24"/>
        </w:rPr>
        <w:t xml:space="preserve"> </w:t>
      </w:r>
      <w:r w:rsidRPr="002C7935">
        <w:rPr>
          <w:rFonts w:ascii="Times New Roman" w:hAnsi="Times New Roman" w:cs="Times New Roman"/>
          <w:sz w:val="24"/>
          <w:szCs w:val="24"/>
        </w:rPr>
        <w:t>karşılaştırılabilir</w:t>
      </w:r>
      <w:r>
        <w:rPr>
          <w:rFonts w:ascii="Times New Roman" w:hAnsi="Times New Roman" w:cs="Times New Roman"/>
          <w:sz w:val="24"/>
          <w:szCs w:val="24"/>
        </w:rPr>
        <w:t xml:space="preserve"> </w:t>
      </w:r>
      <w:r w:rsidRPr="002C7935">
        <w:rPr>
          <w:rFonts w:ascii="Times New Roman" w:hAnsi="Times New Roman" w:cs="Times New Roman"/>
          <w:sz w:val="24"/>
          <w:szCs w:val="24"/>
        </w:rPr>
        <w:t xml:space="preserve">etkileşim göstermesi beklendiği için, etkililik, güvenlilik ve/veya farmakodinamik çalışmalar sırasında ilave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veriler elde edilirse, hedef popülasyonda </w:t>
      </w:r>
      <w:proofErr w:type="spellStart"/>
      <w:r w:rsidRPr="002C7935">
        <w:rPr>
          <w:rFonts w:ascii="Times New Roman" w:hAnsi="Times New Roman" w:cs="Times New Roman"/>
          <w:sz w:val="24"/>
          <w:szCs w:val="24"/>
        </w:rPr>
        <w:t>pivotal</w:t>
      </w:r>
      <w:proofErr w:type="spellEnd"/>
      <w:r w:rsidRPr="002C7935">
        <w:rPr>
          <w:rFonts w:ascii="Times New Roman" w:hAnsi="Times New Roman" w:cs="Times New Roman"/>
          <w:sz w:val="24"/>
          <w:szCs w:val="24"/>
        </w:rPr>
        <w:t xml:space="preserve"> bir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çalışmanın olmaması kabul edilebilir</w:t>
      </w:r>
      <w:r w:rsidRPr="001F447B">
        <w:rPr>
          <w:rFonts w:ascii="Times New Roman" w:hAnsi="Times New Roman" w:cs="Times New Roman"/>
          <w:sz w:val="24"/>
          <w:szCs w:val="24"/>
        </w:rPr>
        <w:t>.</w:t>
      </w:r>
      <w:r w:rsidRPr="002C7935">
        <w:rPr>
          <w:rFonts w:ascii="Times New Roman" w:hAnsi="Times New Roman" w:cs="Times New Roman"/>
          <w:sz w:val="24"/>
          <w:szCs w:val="24"/>
        </w:rPr>
        <w:t xml:space="preserve"> </w:t>
      </w:r>
      <w:r>
        <w:rPr>
          <w:rFonts w:ascii="Times New Roman" w:hAnsi="Times New Roman" w:cs="Times New Roman"/>
          <w:sz w:val="24"/>
          <w:szCs w:val="24"/>
        </w:rPr>
        <w:t xml:space="preserve">Çünkü bu </w:t>
      </w:r>
      <w:proofErr w:type="spellStart"/>
      <w:r>
        <w:rPr>
          <w:rFonts w:ascii="Times New Roman" w:hAnsi="Times New Roman" w:cs="Times New Roman"/>
          <w:sz w:val="24"/>
          <w:szCs w:val="24"/>
        </w:rPr>
        <w:t>farmakokinetik</w:t>
      </w:r>
      <w:proofErr w:type="spellEnd"/>
      <w:r>
        <w:rPr>
          <w:rFonts w:ascii="Times New Roman" w:hAnsi="Times New Roman" w:cs="Times New Roman"/>
          <w:sz w:val="24"/>
          <w:szCs w:val="24"/>
        </w:rPr>
        <w:t xml:space="preserve"> veriler, </w:t>
      </w:r>
      <w:r w:rsidRPr="002C7935">
        <w:rPr>
          <w:rFonts w:ascii="Times New Roman" w:hAnsi="Times New Roman" w:cs="Times New Roman"/>
          <w:sz w:val="24"/>
          <w:szCs w:val="24"/>
        </w:rPr>
        <w:t>hasta alt gru</w:t>
      </w:r>
      <w:r>
        <w:rPr>
          <w:rFonts w:ascii="Times New Roman" w:hAnsi="Times New Roman" w:cs="Times New Roman"/>
          <w:sz w:val="24"/>
          <w:szCs w:val="24"/>
        </w:rPr>
        <w:t xml:space="preserve">plarında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profilin belirlenmesi veya popülasyon </w:t>
      </w:r>
      <w:proofErr w:type="spellStart"/>
      <w:r w:rsidRPr="002C7935">
        <w:rPr>
          <w:rFonts w:ascii="Times New Roman" w:hAnsi="Times New Roman" w:cs="Times New Roman"/>
          <w:sz w:val="24"/>
          <w:szCs w:val="24"/>
        </w:rPr>
        <w:t>farmakokinetiği</w:t>
      </w:r>
      <w:proofErr w:type="spellEnd"/>
      <w:r w:rsidRPr="001F447B" w:rsidDel="007A5D32">
        <w:rPr>
          <w:rFonts w:ascii="Times New Roman" w:hAnsi="Times New Roman" w:cs="Times New Roman"/>
          <w:sz w:val="24"/>
          <w:szCs w:val="24"/>
        </w:rPr>
        <w:t xml:space="preserve"> </w:t>
      </w:r>
      <w:r>
        <w:rPr>
          <w:rFonts w:ascii="Times New Roman" w:hAnsi="Times New Roman" w:cs="Times New Roman"/>
          <w:sz w:val="24"/>
          <w:szCs w:val="24"/>
        </w:rPr>
        <w:t xml:space="preserve">aracılığı ile </w:t>
      </w:r>
      <w:r w:rsidRPr="002C7935">
        <w:rPr>
          <w:rFonts w:ascii="Times New Roman" w:hAnsi="Times New Roman" w:cs="Times New Roman"/>
          <w:sz w:val="24"/>
          <w:szCs w:val="24"/>
        </w:rPr>
        <w:t xml:space="preserve">değişken </w:t>
      </w:r>
      <w:proofErr w:type="spellStart"/>
      <w:r w:rsidRPr="002C7935">
        <w:rPr>
          <w:rFonts w:ascii="Times New Roman" w:hAnsi="Times New Roman" w:cs="Times New Roman"/>
          <w:sz w:val="24"/>
          <w:szCs w:val="24"/>
        </w:rPr>
        <w:t>farmakokinetiğin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ve </w:t>
      </w:r>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farmakokinetikte</w:t>
      </w:r>
      <w:proofErr w:type="spellEnd"/>
      <w:proofErr w:type="gramEnd"/>
      <w:r>
        <w:rPr>
          <w:rFonts w:ascii="Times New Roman" w:hAnsi="Times New Roman" w:cs="Times New Roman"/>
          <w:sz w:val="24"/>
          <w:szCs w:val="24"/>
        </w:rPr>
        <w:t xml:space="preserve"> zaman içinde gelişen </w:t>
      </w:r>
      <w:r w:rsidRPr="002C7935">
        <w:rPr>
          <w:rFonts w:ascii="Times New Roman" w:hAnsi="Times New Roman" w:cs="Times New Roman"/>
          <w:sz w:val="24"/>
          <w:szCs w:val="24"/>
        </w:rPr>
        <w:t>olası değişikliklerin</w:t>
      </w:r>
      <w:r>
        <w:rPr>
          <w:rFonts w:ascii="Times New Roman" w:hAnsi="Times New Roman" w:cs="Times New Roman"/>
          <w:sz w:val="24"/>
          <w:szCs w:val="24"/>
        </w:rPr>
        <w:t xml:space="preserve"> </w:t>
      </w:r>
      <w:r w:rsidRPr="002C7935">
        <w:rPr>
          <w:rFonts w:ascii="Times New Roman" w:hAnsi="Times New Roman" w:cs="Times New Roman"/>
          <w:sz w:val="24"/>
          <w:szCs w:val="24"/>
        </w:rPr>
        <w:t xml:space="preserve">klinik etkisinin daha ileri </w:t>
      </w:r>
      <w:r>
        <w:rPr>
          <w:rFonts w:ascii="Times New Roman" w:hAnsi="Times New Roman" w:cs="Times New Roman"/>
          <w:sz w:val="24"/>
          <w:szCs w:val="24"/>
        </w:rPr>
        <w:t>düzeyde ar</w:t>
      </w:r>
      <w:r w:rsidRPr="002C7935">
        <w:rPr>
          <w:rFonts w:ascii="Times New Roman" w:hAnsi="Times New Roman" w:cs="Times New Roman"/>
          <w:sz w:val="24"/>
          <w:szCs w:val="24"/>
        </w:rPr>
        <w:t>aşt</w:t>
      </w:r>
      <w:r w:rsidRPr="001F447B">
        <w:rPr>
          <w:rFonts w:ascii="Times New Roman" w:hAnsi="Times New Roman" w:cs="Times New Roman"/>
          <w:sz w:val="24"/>
          <w:szCs w:val="24"/>
        </w:rPr>
        <w:t>ırılmasına imkan sağla</w:t>
      </w:r>
      <w:r>
        <w:rPr>
          <w:rFonts w:ascii="Times New Roman" w:hAnsi="Times New Roman" w:cs="Times New Roman"/>
          <w:sz w:val="24"/>
          <w:szCs w:val="24"/>
        </w:rPr>
        <w:t>r</w:t>
      </w:r>
      <w:r w:rsidRPr="002C7935">
        <w:rPr>
          <w:rFonts w:ascii="Times New Roman" w:hAnsi="Times New Roman" w:cs="Times New Roman"/>
          <w:sz w:val="24"/>
          <w:szCs w:val="24"/>
        </w:rPr>
        <w:t>.</w:t>
      </w:r>
    </w:p>
    <w:p w14:paraId="4FEFECBD"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(8) </w:t>
      </w:r>
      <w:r>
        <w:rPr>
          <w:rFonts w:ascii="Times New Roman" w:hAnsi="Times New Roman" w:cs="Times New Roman"/>
          <w:sz w:val="24"/>
          <w:szCs w:val="24"/>
        </w:rPr>
        <w:t>T</w:t>
      </w:r>
      <w:r w:rsidRPr="002C7935">
        <w:rPr>
          <w:rFonts w:ascii="Times New Roman" w:hAnsi="Times New Roman" w:cs="Times New Roman"/>
          <w:sz w:val="24"/>
          <w:szCs w:val="24"/>
        </w:rPr>
        <w:t>ek doz çapraz çalışma ile</w:t>
      </w:r>
      <w:r>
        <w:rPr>
          <w:rFonts w:ascii="Times New Roman" w:hAnsi="Times New Roman" w:cs="Times New Roman"/>
          <w:sz w:val="24"/>
          <w:szCs w:val="24"/>
        </w:rPr>
        <w:t>,</w:t>
      </w:r>
      <w:r w:rsidRPr="002C7935">
        <w:rPr>
          <w:rFonts w:ascii="Times New Roman" w:hAnsi="Times New Roman" w:cs="Times New Roman"/>
          <w:sz w:val="24"/>
          <w:szCs w:val="24"/>
        </w:rPr>
        <w:t xml:space="preserve"> </w:t>
      </w:r>
      <w:r>
        <w:rPr>
          <w:rFonts w:ascii="Times New Roman" w:hAnsi="Times New Roman" w:cs="Times New Roman"/>
          <w:sz w:val="24"/>
          <w:szCs w:val="24"/>
        </w:rPr>
        <w:t>g</w:t>
      </w:r>
      <w:r w:rsidRPr="002C7935">
        <w:rPr>
          <w:rFonts w:ascii="Times New Roman" w:hAnsi="Times New Roman" w:cs="Times New Roman"/>
          <w:sz w:val="24"/>
          <w:szCs w:val="24"/>
        </w:rPr>
        <w:t xml:space="preserve">eç </w:t>
      </w:r>
      <w:proofErr w:type="gramStart"/>
      <w:r w:rsidRPr="002C7935">
        <w:rPr>
          <w:rFonts w:ascii="Times New Roman" w:hAnsi="Times New Roman" w:cs="Times New Roman"/>
          <w:sz w:val="24"/>
          <w:szCs w:val="24"/>
        </w:rPr>
        <w:t>eliminasyon</w:t>
      </w:r>
      <w:proofErr w:type="gramEnd"/>
      <w:r w:rsidRPr="002C7935">
        <w:rPr>
          <w:rFonts w:ascii="Times New Roman" w:hAnsi="Times New Roman" w:cs="Times New Roman"/>
          <w:sz w:val="24"/>
          <w:szCs w:val="24"/>
        </w:rPr>
        <w:t xml:space="preserve"> fazı dahil olmak üzere</w:t>
      </w:r>
      <w:r w:rsidRPr="00B94937">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profilin tam </w:t>
      </w:r>
      <w:proofErr w:type="spellStart"/>
      <w:r w:rsidRPr="002C7935">
        <w:rPr>
          <w:rFonts w:ascii="Times New Roman" w:hAnsi="Times New Roman" w:cs="Times New Roman"/>
          <w:sz w:val="24"/>
          <w:szCs w:val="24"/>
        </w:rPr>
        <w:t>karakterizasyonu</w:t>
      </w:r>
      <w:proofErr w:type="spellEnd"/>
      <w:r>
        <w:rPr>
          <w:rFonts w:ascii="Times New Roman" w:hAnsi="Times New Roman" w:cs="Times New Roman"/>
          <w:sz w:val="24"/>
          <w:szCs w:val="24"/>
        </w:rPr>
        <w:t xml:space="preserve"> belirlenebilir.</w:t>
      </w:r>
    </w:p>
    <w:p w14:paraId="4259FE87"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(9) Uzun bir yarılanma ömrü ve/veya </w:t>
      </w:r>
      <w:r>
        <w:rPr>
          <w:rFonts w:ascii="Times New Roman" w:hAnsi="Times New Roman" w:cs="Times New Roman"/>
          <w:sz w:val="24"/>
          <w:szCs w:val="24"/>
        </w:rPr>
        <w:t xml:space="preserve">yüksek </w:t>
      </w:r>
      <w:proofErr w:type="spellStart"/>
      <w:r w:rsidRPr="002C7935">
        <w:rPr>
          <w:rFonts w:ascii="Times New Roman" w:hAnsi="Times New Roman" w:cs="Times New Roman"/>
          <w:sz w:val="24"/>
          <w:szCs w:val="24"/>
        </w:rPr>
        <w:t>immünojenisite</w:t>
      </w:r>
      <w:proofErr w:type="spellEnd"/>
      <w:r w:rsidRPr="002C7935">
        <w:rPr>
          <w:rFonts w:ascii="Times New Roman" w:hAnsi="Times New Roman" w:cs="Times New Roman"/>
          <w:sz w:val="24"/>
          <w:szCs w:val="24"/>
        </w:rPr>
        <w:t xml:space="preserve"> riski olan maddeler için paralel grup tasarımı gerekli olabilir.</w:t>
      </w:r>
    </w:p>
    <w:p w14:paraId="11866227" w14:textId="77777777" w:rsidR="00336B38" w:rsidRPr="001F447B"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lastRenderedPageBreak/>
        <w:t xml:space="preserve">(10) Sağlıklı gönüllülerde tek doz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karşılaştırma çalışmasındaki dozlar, tavsiye edilen </w:t>
      </w:r>
      <w:proofErr w:type="spellStart"/>
      <w:r w:rsidRPr="002C7935">
        <w:rPr>
          <w:rFonts w:ascii="Times New Roman" w:hAnsi="Times New Roman" w:cs="Times New Roman"/>
          <w:sz w:val="24"/>
          <w:szCs w:val="24"/>
        </w:rPr>
        <w:t>terapötik</w:t>
      </w:r>
      <w:proofErr w:type="spellEnd"/>
      <w:r w:rsidRPr="002C7935">
        <w:rPr>
          <w:rFonts w:ascii="Times New Roman" w:hAnsi="Times New Roman" w:cs="Times New Roman"/>
          <w:sz w:val="24"/>
          <w:szCs w:val="24"/>
        </w:rPr>
        <w:t xml:space="preserve"> dozlardan daha düşük olabilir. </w:t>
      </w:r>
    </w:p>
    <w:p w14:paraId="6B70353A"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(11) </w:t>
      </w:r>
      <w:proofErr w:type="spellStart"/>
      <w:r>
        <w:rPr>
          <w:rFonts w:ascii="Times New Roman" w:hAnsi="Times New Roman" w:cs="Times New Roman"/>
          <w:sz w:val="24"/>
          <w:szCs w:val="24"/>
        </w:rPr>
        <w:t>F</w:t>
      </w:r>
      <w:r w:rsidRPr="002C7935">
        <w:rPr>
          <w:rFonts w:ascii="Times New Roman" w:hAnsi="Times New Roman" w:cs="Times New Roman"/>
          <w:sz w:val="24"/>
          <w:szCs w:val="24"/>
        </w:rPr>
        <w:t>armakokinetik</w:t>
      </w:r>
      <w:proofErr w:type="spellEnd"/>
      <w:r w:rsidRPr="002C7935">
        <w:rPr>
          <w:rFonts w:ascii="Times New Roman" w:hAnsi="Times New Roman" w:cs="Times New Roman"/>
          <w:sz w:val="24"/>
          <w:szCs w:val="24"/>
        </w:rPr>
        <w:t xml:space="preserve"> çalışmaların </w:t>
      </w:r>
      <w:r>
        <w:rPr>
          <w:rFonts w:ascii="Times New Roman" w:hAnsi="Times New Roman" w:cs="Times New Roman"/>
          <w:sz w:val="24"/>
          <w:szCs w:val="24"/>
        </w:rPr>
        <w:t>s</w:t>
      </w:r>
      <w:r w:rsidRPr="002C7935">
        <w:rPr>
          <w:rFonts w:ascii="Times New Roman" w:hAnsi="Times New Roman" w:cs="Times New Roman"/>
          <w:sz w:val="24"/>
          <w:szCs w:val="24"/>
        </w:rPr>
        <w:t xml:space="preserve">ağlıklı gönüllülerde yapılması her zaman uygun olmayabilir. Bu durumda, eğer tek doz bir çalışma yapılması mümkün değil ise, </w:t>
      </w:r>
      <w:proofErr w:type="spellStart"/>
      <w:r w:rsidRPr="002C7935">
        <w:rPr>
          <w:rFonts w:ascii="Times New Roman" w:hAnsi="Times New Roman" w:cs="Times New Roman"/>
          <w:sz w:val="24"/>
          <w:szCs w:val="24"/>
        </w:rPr>
        <w:t>farmakokinetiğin</w:t>
      </w:r>
      <w:proofErr w:type="spellEnd"/>
      <w:r>
        <w:rPr>
          <w:rFonts w:ascii="Times New Roman" w:hAnsi="Times New Roman" w:cs="Times New Roman"/>
          <w:sz w:val="24"/>
          <w:szCs w:val="24"/>
        </w:rPr>
        <w:t xml:space="preserve"> hastalarda </w:t>
      </w:r>
      <w:r w:rsidRPr="002C7935">
        <w:rPr>
          <w:rFonts w:ascii="Times New Roman" w:hAnsi="Times New Roman" w:cs="Times New Roman"/>
          <w:sz w:val="24"/>
          <w:szCs w:val="24"/>
        </w:rPr>
        <w:t xml:space="preserve">çoklu doz bir çalışmanın parçası olarak </w:t>
      </w:r>
      <w:r>
        <w:rPr>
          <w:rFonts w:ascii="Times New Roman" w:hAnsi="Times New Roman" w:cs="Times New Roman"/>
          <w:sz w:val="24"/>
          <w:szCs w:val="24"/>
        </w:rPr>
        <w:t>çalışılması</w:t>
      </w:r>
      <w:r w:rsidRPr="002C7935">
        <w:rPr>
          <w:rFonts w:ascii="Times New Roman" w:hAnsi="Times New Roman" w:cs="Times New Roman"/>
          <w:sz w:val="24"/>
          <w:szCs w:val="24"/>
        </w:rPr>
        <w:t xml:space="preserve"> gerekmektedir. </w:t>
      </w:r>
    </w:p>
    <w:p w14:paraId="4AB6E1B7" w14:textId="77777777" w:rsidR="00336B38" w:rsidRPr="002C7935" w:rsidRDefault="00336B38" w:rsidP="00336B38">
      <w:pPr>
        <w:ind w:right="-567"/>
        <w:jc w:val="both"/>
        <w:rPr>
          <w:rFonts w:ascii="Times New Roman" w:hAnsi="Times New Roman" w:cs="Times New Roman"/>
          <w:sz w:val="24"/>
          <w:szCs w:val="24"/>
        </w:rPr>
      </w:pPr>
      <w:r w:rsidRPr="001F447B">
        <w:rPr>
          <w:rFonts w:ascii="Times New Roman" w:hAnsi="Times New Roman" w:cs="Times New Roman"/>
          <w:sz w:val="24"/>
          <w:szCs w:val="24"/>
        </w:rPr>
        <w:t xml:space="preserve">(12) Bireyler </w:t>
      </w:r>
      <w:r w:rsidRPr="002C7935">
        <w:rPr>
          <w:rFonts w:ascii="Times New Roman" w:hAnsi="Times New Roman" w:cs="Times New Roman"/>
          <w:sz w:val="24"/>
          <w:szCs w:val="24"/>
        </w:rPr>
        <w:t xml:space="preserve">arası veya zamana bağımlı </w:t>
      </w:r>
      <w:proofErr w:type="spellStart"/>
      <w:r w:rsidRPr="002C7935">
        <w:rPr>
          <w:rFonts w:ascii="Times New Roman" w:hAnsi="Times New Roman" w:cs="Times New Roman"/>
          <w:sz w:val="24"/>
          <w:szCs w:val="24"/>
        </w:rPr>
        <w:t>major</w:t>
      </w:r>
      <w:proofErr w:type="spellEnd"/>
      <w:r w:rsidRPr="002C7935">
        <w:rPr>
          <w:rFonts w:ascii="Times New Roman" w:hAnsi="Times New Roman" w:cs="Times New Roman"/>
          <w:sz w:val="24"/>
          <w:szCs w:val="24"/>
        </w:rPr>
        <w:t xml:space="preserve"> değişkenliklere yol açan faktörlerin daha az olduğu duyarlı bir model/</w:t>
      </w:r>
      <w:proofErr w:type="gramStart"/>
      <w:r w:rsidRPr="002C7935">
        <w:rPr>
          <w:rFonts w:ascii="Times New Roman" w:hAnsi="Times New Roman" w:cs="Times New Roman"/>
          <w:sz w:val="24"/>
          <w:szCs w:val="24"/>
        </w:rPr>
        <w:t>popülasyon</w:t>
      </w:r>
      <w:proofErr w:type="gramEnd"/>
      <w:r w:rsidRPr="002C7935">
        <w:rPr>
          <w:rFonts w:ascii="Times New Roman" w:hAnsi="Times New Roman" w:cs="Times New Roman"/>
          <w:sz w:val="24"/>
          <w:szCs w:val="24"/>
        </w:rPr>
        <w:t xml:space="preserve"> araştırılmalıdır.</w:t>
      </w:r>
    </w:p>
    <w:p w14:paraId="64FDF5D5"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(13) Eğer referans ürün hem </w:t>
      </w:r>
      <w:proofErr w:type="spellStart"/>
      <w:r w:rsidRPr="002C7935">
        <w:rPr>
          <w:rFonts w:ascii="Times New Roman" w:hAnsi="Times New Roman" w:cs="Times New Roman"/>
          <w:sz w:val="24"/>
          <w:szCs w:val="24"/>
        </w:rPr>
        <w:t>intravenöz</w:t>
      </w:r>
      <w:proofErr w:type="spellEnd"/>
      <w:r w:rsidRPr="002C7935">
        <w:rPr>
          <w:rFonts w:ascii="Times New Roman" w:hAnsi="Times New Roman" w:cs="Times New Roman"/>
          <w:sz w:val="24"/>
          <w:szCs w:val="24"/>
        </w:rPr>
        <w:t xml:space="preserve"> hem de </w:t>
      </w:r>
      <w:proofErr w:type="spellStart"/>
      <w:r w:rsidRPr="002C7935">
        <w:rPr>
          <w:rFonts w:ascii="Times New Roman" w:hAnsi="Times New Roman" w:cs="Times New Roman"/>
          <w:sz w:val="24"/>
          <w:szCs w:val="24"/>
        </w:rPr>
        <w:t>subkütan</w:t>
      </w:r>
      <w:proofErr w:type="spellEnd"/>
      <w:r w:rsidRPr="002C7935">
        <w:rPr>
          <w:rFonts w:ascii="Times New Roman" w:hAnsi="Times New Roman" w:cs="Times New Roman"/>
          <w:sz w:val="24"/>
          <w:szCs w:val="24"/>
        </w:rPr>
        <w:t xml:space="preserve"> olarak uygulanabiliyor ise, </w:t>
      </w:r>
      <w:r>
        <w:rPr>
          <w:rFonts w:ascii="Times New Roman" w:hAnsi="Times New Roman" w:cs="Times New Roman"/>
          <w:sz w:val="24"/>
          <w:szCs w:val="24"/>
        </w:rPr>
        <w:t xml:space="preserve">hem </w:t>
      </w:r>
      <w:proofErr w:type="spellStart"/>
      <w:r w:rsidRPr="002C7935">
        <w:rPr>
          <w:rFonts w:ascii="Times New Roman" w:hAnsi="Times New Roman" w:cs="Times New Roman"/>
          <w:sz w:val="24"/>
          <w:szCs w:val="24"/>
        </w:rPr>
        <w:t>absorpsiyonu</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hem de </w:t>
      </w:r>
      <w:proofErr w:type="gramStart"/>
      <w:r w:rsidRPr="002C7935">
        <w:rPr>
          <w:rFonts w:ascii="Times New Roman" w:hAnsi="Times New Roman" w:cs="Times New Roman"/>
          <w:sz w:val="24"/>
          <w:szCs w:val="24"/>
        </w:rPr>
        <w:t>eliminasyonu</w:t>
      </w:r>
      <w:proofErr w:type="gramEnd"/>
      <w:r w:rsidRPr="002C7935">
        <w:rPr>
          <w:rFonts w:ascii="Times New Roman" w:hAnsi="Times New Roman" w:cs="Times New Roman"/>
          <w:sz w:val="24"/>
          <w:szCs w:val="24"/>
        </w:rPr>
        <w:t xml:space="preserve"> kapsadığı için </w:t>
      </w:r>
      <w:proofErr w:type="spellStart"/>
      <w:r w:rsidRPr="002C7935">
        <w:rPr>
          <w:rFonts w:ascii="Times New Roman" w:hAnsi="Times New Roman" w:cs="Times New Roman"/>
          <w:sz w:val="24"/>
          <w:szCs w:val="24"/>
        </w:rPr>
        <w:t>subkütan</w:t>
      </w:r>
      <w:proofErr w:type="spellEnd"/>
      <w:r w:rsidRPr="002C7935">
        <w:rPr>
          <w:rFonts w:ascii="Times New Roman" w:hAnsi="Times New Roman" w:cs="Times New Roman"/>
          <w:sz w:val="24"/>
          <w:szCs w:val="24"/>
        </w:rPr>
        <w:t xml:space="preserve"> uygulamanın değerlendirilmesi genellikle yeterli olacaktır. Dolayısıyla, eğer </w:t>
      </w:r>
      <w:proofErr w:type="spellStart"/>
      <w:r w:rsidRPr="002C7935">
        <w:rPr>
          <w:rFonts w:ascii="Times New Roman" w:hAnsi="Times New Roman" w:cs="Times New Roman"/>
          <w:sz w:val="24"/>
          <w:szCs w:val="24"/>
        </w:rPr>
        <w:t>subkütan</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uygulama</w:t>
      </w:r>
      <w:r w:rsidRPr="002C7935">
        <w:rPr>
          <w:rFonts w:ascii="Times New Roman" w:hAnsi="Times New Roman" w:cs="Times New Roman"/>
          <w:sz w:val="24"/>
          <w:szCs w:val="24"/>
        </w:rPr>
        <w:t xml:space="preserve"> ile hem </w:t>
      </w:r>
      <w:proofErr w:type="spellStart"/>
      <w:r w:rsidRPr="002C7935">
        <w:rPr>
          <w:rFonts w:ascii="Times New Roman" w:hAnsi="Times New Roman" w:cs="Times New Roman"/>
          <w:sz w:val="24"/>
          <w:szCs w:val="24"/>
        </w:rPr>
        <w:t>absorbsiyon</w:t>
      </w:r>
      <w:proofErr w:type="spellEnd"/>
      <w:r w:rsidRPr="002C7935">
        <w:rPr>
          <w:rFonts w:ascii="Times New Roman" w:hAnsi="Times New Roman" w:cs="Times New Roman"/>
          <w:sz w:val="24"/>
          <w:szCs w:val="24"/>
        </w:rPr>
        <w:t xml:space="preserve"> hem de </w:t>
      </w:r>
      <w:proofErr w:type="gramStart"/>
      <w:r w:rsidRPr="002C7935">
        <w:rPr>
          <w:rFonts w:ascii="Times New Roman" w:hAnsi="Times New Roman" w:cs="Times New Roman"/>
          <w:sz w:val="24"/>
          <w:szCs w:val="24"/>
        </w:rPr>
        <w:t>eliminasyon</w:t>
      </w:r>
      <w:proofErr w:type="gramEnd"/>
      <w:r w:rsidRPr="002C7935">
        <w:rPr>
          <w:rFonts w:ascii="Times New Roman" w:hAnsi="Times New Roman" w:cs="Times New Roman"/>
          <w:sz w:val="24"/>
          <w:szCs w:val="24"/>
        </w:rPr>
        <w:t xml:space="preserve"> için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karşılaştırılabilirlik</w:t>
      </w:r>
      <w:proofErr w:type="spellEnd"/>
      <w:r w:rsidRPr="002C7935">
        <w:rPr>
          <w:rFonts w:ascii="Times New Roman" w:hAnsi="Times New Roman" w:cs="Times New Roman"/>
          <w:sz w:val="24"/>
          <w:szCs w:val="24"/>
        </w:rPr>
        <w:t xml:space="preserve"> gösterilmiş ise, </w:t>
      </w:r>
      <w:proofErr w:type="spellStart"/>
      <w:r w:rsidRPr="002C7935">
        <w:rPr>
          <w:rFonts w:ascii="Times New Roman" w:hAnsi="Times New Roman" w:cs="Times New Roman"/>
          <w:sz w:val="24"/>
          <w:szCs w:val="24"/>
        </w:rPr>
        <w:t>intravenöz</w:t>
      </w:r>
      <w:proofErr w:type="spellEnd"/>
      <w:r w:rsidRPr="002C7935">
        <w:rPr>
          <w:rFonts w:ascii="Times New Roman" w:hAnsi="Times New Roman" w:cs="Times New Roman"/>
          <w:sz w:val="24"/>
          <w:szCs w:val="24"/>
        </w:rPr>
        <w:t xml:space="preserve"> uygulama</w:t>
      </w:r>
      <w:r>
        <w:rPr>
          <w:rFonts w:ascii="Times New Roman" w:hAnsi="Times New Roman" w:cs="Times New Roman"/>
          <w:sz w:val="24"/>
          <w:szCs w:val="24"/>
        </w:rPr>
        <w:t xml:space="preserve"> ile </w:t>
      </w:r>
      <w:r w:rsidRPr="002C7935">
        <w:rPr>
          <w:rFonts w:ascii="Times New Roman" w:hAnsi="Times New Roman" w:cs="Times New Roman"/>
          <w:sz w:val="24"/>
          <w:szCs w:val="24"/>
        </w:rPr>
        <w:t>değerlendir</w:t>
      </w:r>
      <w:r>
        <w:rPr>
          <w:rFonts w:ascii="Times New Roman" w:hAnsi="Times New Roman" w:cs="Times New Roman"/>
          <w:sz w:val="24"/>
          <w:szCs w:val="24"/>
        </w:rPr>
        <w:t xml:space="preserve">meden muafiyet </w:t>
      </w:r>
      <w:r w:rsidRPr="002C7935">
        <w:rPr>
          <w:rFonts w:ascii="Times New Roman" w:hAnsi="Times New Roman" w:cs="Times New Roman"/>
          <w:sz w:val="24"/>
          <w:szCs w:val="24"/>
        </w:rPr>
        <w:t xml:space="preserve">mümkündür. </w:t>
      </w:r>
      <w:proofErr w:type="spellStart"/>
      <w:proofErr w:type="gramStart"/>
      <w:r>
        <w:rPr>
          <w:rFonts w:ascii="Times New Roman" w:hAnsi="Times New Roman" w:cs="Times New Roman"/>
          <w:sz w:val="24"/>
          <w:szCs w:val="24"/>
        </w:rPr>
        <w:t>İ</w:t>
      </w:r>
      <w:r w:rsidRPr="002C7935">
        <w:rPr>
          <w:rFonts w:ascii="Times New Roman" w:hAnsi="Times New Roman" w:cs="Times New Roman"/>
          <w:sz w:val="24"/>
          <w:szCs w:val="24"/>
        </w:rPr>
        <w:t>ntravenöz</w:t>
      </w:r>
      <w:proofErr w:type="spellEnd"/>
      <w:r>
        <w:rPr>
          <w:rFonts w:ascii="Times New Roman" w:hAnsi="Times New Roman" w:cs="Times New Roman"/>
          <w:sz w:val="24"/>
          <w:szCs w:val="24"/>
        </w:rPr>
        <w:t xml:space="preserve"> </w:t>
      </w:r>
      <w:r w:rsidRPr="002C7935">
        <w:rPr>
          <w:rFonts w:ascii="Times New Roman" w:hAnsi="Times New Roman" w:cs="Times New Roman"/>
          <w:sz w:val="24"/>
          <w:szCs w:val="24"/>
        </w:rPr>
        <w:t xml:space="preserve"> uygulama</w:t>
      </w:r>
      <w:proofErr w:type="gramEnd"/>
      <w:r>
        <w:rPr>
          <w:rFonts w:ascii="Times New Roman" w:hAnsi="Times New Roman" w:cs="Times New Roman"/>
          <w:sz w:val="24"/>
          <w:szCs w:val="24"/>
        </w:rPr>
        <w:t xml:space="preserve"> ile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çalışma</w:t>
      </w:r>
      <w:r>
        <w:rPr>
          <w:rFonts w:ascii="Times New Roman" w:hAnsi="Times New Roman" w:cs="Times New Roman"/>
          <w:sz w:val="24"/>
          <w:szCs w:val="24"/>
        </w:rPr>
        <w:t xml:space="preserve"> yapılmaması, örneğin; </w:t>
      </w:r>
      <w:r w:rsidRPr="002C7935">
        <w:rPr>
          <w:rFonts w:ascii="Times New Roman" w:hAnsi="Times New Roman" w:cs="Times New Roman"/>
          <w:sz w:val="24"/>
          <w:szCs w:val="24"/>
        </w:rPr>
        <w:t>molekülün</w:t>
      </w:r>
      <w:r>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absorpsiyon</w:t>
      </w:r>
      <w:proofErr w:type="spellEnd"/>
      <w:r w:rsidRPr="002C7935">
        <w:rPr>
          <w:rFonts w:ascii="Times New Roman" w:hAnsi="Times New Roman" w:cs="Times New Roman"/>
          <w:sz w:val="24"/>
          <w:szCs w:val="24"/>
        </w:rPr>
        <w:t xml:space="preserve"> sabiti</w:t>
      </w:r>
      <w:r>
        <w:rPr>
          <w:rFonts w:ascii="Times New Roman" w:hAnsi="Times New Roman" w:cs="Times New Roman"/>
          <w:sz w:val="24"/>
          <w:szCs w:val="24"/>
        </w:rPr>
        <w:t>nin</w:t>
      </w:r>
      <w:r w:rsidRPr="002C7935">
        <w:rPr>
          <w:rFonts w:ascii="Times New Roman" w:hAnsi="Times New Roman" w:cs="Times New Roman"/>
          <w:sz w:val="24"/>
          <w:szCs w:val="24"/>
        </w:rPr>
        <w:t xml:space="preserve"> eliminasyon sabitinden çok daha</w:t>
      </w:r>
      <w:r w:rsidRPr="0093223A">
        <w:rPr>
          <w:rFonts w:ascii="Times New Roman" w:hAnsi="Times New Roman" w:cs="Times New Roman"/>
          <w:sz w:val="24"/>
          <w:szCs w:val="24"/>
        </w:rPr>
        <w:t xml:space="preserve"> </w:t>
      </w:r>
      <w:r w:rsidRPr="002C7935">
        <w:rPr>
          <w:rFonts w:ascii="Times New Roman" w:hAnsi="Times New Roman" w:cs="Times New Roman"/>
          <w:sz w:val="24"/>
          <w:szCs w:val="24"/>
        </w:rPr>
        <w:t xml:space="preserve">yavaş </w:t>
      </w:r>
      <w:r>
        <w:rPr>
          <w:rFonts w:ascii="Times New Roman" w:hAnsi="Times New Roman" w:cs="Times New Roman"/>
          <w:sz w:val="24"/>
          <w:szCs w:val="24"/>
        </w:rPr>
        <w:t xml:space="preserve">olması </w:t>
      </w:r>
      <w:r w:rsidRPr="002C7935">
        <w:rPr>
          <w:rFonts w:ascii="Times New Roman" w:hAnsi="Times New Roman" w:cs="Times New Roman"/>
          <w:sz w:val="24"/>
          <w:szCs w:val="24"/>
        </w:rPr>
        <w:t>(</w:t>
      </w:r>
      <w:proofErr w:type="spellStart"/>
      <w:r w:rsidRPr="002C7935">
        <w:rPr>
          <w:rFonts w:ascii="Times New Roman" w:hAnsi="Times New Roman" w:cs="Times New Roman"/>
          <w:sz w:val="24"/>
          <w:szCs w:val="24"/>
        </w:rPr>
        <w:t>fli</w:t>
      </w:r>
      <w:r>
        <w:rPr>
          <w:rFonts w:ascii="Times New Roman" w:hAnsi="Times New Roman" w:cs="Times New Roman"/>
          <w:sz w:val="24"/>
          <w:szCs w:val="24"/>
        </w:rPr>
        <w:t>p-flop</w:t>
      </w:r>
      <w:proofErr w:type="spellEnd"/>
      <w:r>
        <w:rPr>
          <w:rFonts w:ascii="Times New Roman" w:hAnsi="Times New Roman" w:cs="Times New Roman"/>
          <w:sz w:val="24"/>
          <w:szCs w:val="24"/>
        </w:rPr>
        <w:t xml:space="preserve"> kinetik</w:t>
      </w:r>
      <w:r w:rsidRPr="002C7935">
        <w:rPr>
          <w:rFonts w:ascii="Times New Roman" w:hAnsi="Times New Roman" w:cs="Times New Roman"/>
          <w:sz w:val="24"/>
          <w:szCs w:val="24"/>
        </w:rPr>
        <w:t>)</w:t>
      </w:r>
      <w:r>
        <w:rPr>
          <w:rFonts w:ascii="Times New Roman" w:hAnsi="Times New Roman" w:cs="Times New Roman"/>
          <w:sz w:val="24"/>
          <w:szCs w:val="24"/>
        </w:rPr>
        <w:t xml:space="preserve"> gibi durumlarda, </w:t>
      </w:r>
      <w:r w:rsidRPr="002C7935">
        <w:rPr>
          <w:rFonts w:ascii="Times New Roman" w:hAnsi="Times New Roman" w:cs="Times New Roman"/>
          <w:sz w:val="24"/>
          <w:szCs w:val="24"/>
        </w:rPr>
        <w:t>gerekçelendirilme</w:t>
      </w:r>
      <w:r>
        <w:rPr>
          <w:rFonts w:ascii="Times New Roman" w:hAnsi="Times New Roman" w:cs="Times New Roman"/>
          <w:sz w:val="24"/>
          <w:szCs w:val="24"/>
        </w:rPr>
        <w:t>lidir.</w:t>
      </w:r>
    </w:p>
    <w:p w14:paraId="7DCCC9BC"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(14) Tek doz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çalışmada birincil parametreler, </w:t>
      </w:r>
      <w:proofErr w:type="spellStart"/>
      <w:r w:rsidRPr="002C7935">
        <w:rPr>
          <w:rFonts w:ascii="Times New Roman" w:hAnsi="Times New Roman" w:cs="Times New Roman"/>
          <w:sz w:val="24"/>
          <w:szCs w:val="24"/>
        </w:rPr>
        <w:t>intravenöz</w:t>
      </w:r>
      <w:proofErr w:type="spellEnd"/>
      <w:r w:rsidRPr="002C7935">
        <w:rPr>
          <w:rFonts w:ascii="Times New Roman" w:hAnsi="Times New Roman" w:cs="Times New Roman"/>
          <w:sz w:val="24"/>
          <w:szCs w:val="24"/>
        </w:rPr>
        <w:t xml:space="preserve"> uygulama için AUC</w:t>
      </w:r>
      <w:r w:rsidRPr="005750AA">
        <w:rPr>
          <w:rFonts w:ascii="Times New Roman" w:hAnsi="Times New Roman" w:cs="Times New Roman"/>
          <w:sz w:val="24"/>
          <w:szCs w:val="24"/>
          <w:vertAlign w:val="subscript"/>
        </w:rPr>
        <w:t>(0-inf)</w:t>
      </w:r>
      <w:r w:rsidRPr="002C7935">
        <w:rPr>
          <w:rFonts w:ascii="Times New Roman" w:hAnsi="Times New Roman" w:cs="Times New Roman"/>
          <w:sz w:val="24"/>
          <w:szCs w:val="24"/>
        </w:rPr>
        <w:t xml:space="preserve"> ve </w:t>
      </w:r>
      <w:proofErr w:type="spellStart"/>
      <w:r w:rsidRPr="002C7935">
        <w:rPr>
          <w:rFonts w:ascii="Times New Roman" w:hAnsi="Times New Roman" w:cs="Times New Roman"/>
          <w:sz w:val="24"/>
          <w:szCs w:val="24"/>
        </w:rPr>
        <w:t>subkütan</w:t>
      </w:r>
      <w:proofErr w:type="spellEnd"/>
      <w:r w:rsidRPr="002C7935">
        <w:rPr>
          <w:rFonts w:ascii="Times New Roman" w:hAnsi="Times New Roman" w:cs="Times New Roman"/>
          <w:sz w:val="24"/>
          <w:szCs w:val="24"/>
        </w:rPr>
        <w:t xml:space="preserve"> uygulama için AUC</w:t>
      </w:r>
      <w:r w:rsidRPr="005750AA">
        <w:rPr>
          <w:rFonts w:ascii="Times New Roman" w:hAnsi="Times New Roman" w:cs="Times New Roman"/>
          <w:sz w:val="24"/>
          <w:szCs w:val="24"/>
          <w:vertAlign w:val="subscript"/>
        </w:rPr>
        <w:t>(0-inf)</w:t>
      </w:r>
      <w:r w:rsidRPr="002C7935">
        <w:rPr>
          <w:rFonts w:ascii="Times New Roman" w:hAnsi="Times New Roman" w:cs="Times New Roman"/>
          <w:sz w:val="24"/>
          <w:szCs w:val="24"/>
        </w:rPr>
        <w:t xml:space="preserve"> ve genellikle </w:t>
      </w:r>
      <w:proofErr w:type="spellStart"/>
      <w:r w:rsidRPr="002C7935">
        <w:rPr>
          <w:rFonts w:ascii="Times New Roman" w:hAnsi="Times New Roman" w:cs="Times New Roman"/>
          <w:sz w:val="24"/>
          <w:szCs w:val="24"/>
        </w:rPr>
        <w:t>C</w:t>
      </w:r>
      <w:r w:rsidRPr="005750AA">
        <w:rPr>
          <w:rFonts w:ascii="Times New Roman" w:hAnsi="Times New Roman" w:cs="Times New Roman"/>
          <w:sz w:val="24"/>
          <w:szCs w:val="24"/>
          <w:vertAlign w:val="subscript"/>
        </w:rPr>
        <w:t>maks</w:t>
      </w:r>
      <w:proofErr w:type="spellEnd"/>
      <w:r w:rsidRPr="002C7935">
        <w:rPr>
          <w:rFonts w:ascii="Times New Roman" w:hAnsi="Times New Roman" w:cs="Times New Roman"/>
          <w:sz w:val="24"/>
          <w:szCs w:val="24"/>
        </w:rPr>
        <w:t xml:space="preserve"> olmalıdır. </w:t>
      </w:r>
      <w:proofErr w:type="spellStart"/>
      <w:r w:rsidRPr="002C7935">
        <w:rPr>
          <w:rFonts w:ascii="Times New Roman" w:hAnsi="Times New Roman" w:cs="Times New Roman"/>
          <w:sz w:val="24"/>
          <w:szCs w:val="24"/>
        </w:rPr>
        <w:t>T</w:t>
      </w:r>
      <w:r w:rsidRPr="005750AA">
        <w:rPr>
          <w:rFonts w:ascii="Times New Roman" w:hAnsi="Times New Roman" w:cs="Times New Roman"/>
          <w:sz w:val="24"/>
          <w:szCs w:val="24"/>
          <w:vertAlign w:val="subscript"/>
        </w:rPr>
        <w:t>maks</w:t>
      </w:r>
      <w:proofErr w:type="spellEnd"/>
      <w:r w:rsidRPr="002C7935">
        <w:rPr>
          <w:rFonts w:ascii="Times New Roman" w:hAnsi="Times New Roman" w:cs="Times New Roman"/>
          <w:sz w:val="24"/>
          <w:szCs w:val="24"/>
        </w:rPr>
        <w:t xml:space="preserve">, dağılım hacmi ve yarılanma ömrü gibi ikincil parametreler de değerlendirmeye alınmalıdır. </w:t>
      </w:r>
    </w:p>
    <w:p w14:paraId="34643DF0" w14:textId="453AC8F0"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(15) Çoklu doz çalışmada birincil parametreler ilk uygulamadan ikinci uygulamaya kadar AUC</w:t>
      </w:r>
      <w:r w:rsidRPr="005750AA">
        <w:rPr>
          <w:rFonts w:ascii="Times New Roman" w:hAnsi="Times New Roman" w:cs="Times New Roman"/>
          <w:sz w:val="24"/>
          <w:szCs w:val="24"/>
          <w:vertAlign w:val="subscript"/>
        </w:rPr>
        <w:t>(0-t)</w:t>
      </w:r>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trunkat</w:t>
      </w:r>
      <w:proofErr w:type="spellEnd"/>
      <w:r w:rsidRPr="002C7935">
        <w:rPr>
          <w:rFonts w:ascii="Times New Roman" w:hAnsi="Times New Roman" w:cs="Times New Roman"/>
          <w:sz w:val="24"/>
          <w:szCs w:val="24"/>
        </w:rPr>
        <w:t xml:space="preserve"> AUC ve kararlı durumdaki bir d</w:t>
      </w:r>
      <w:r w:rsidR="00C07C99">
        <w:rPr>
          <w:rFonts w:ascii="Times New Roman" w:hAnsi="Times New Roman" w:cs="Times New Roman"/>
          <w:sz w:val="24"/>
          <w:szCs w:val="24"/>
        </w:rPr>
        <w:t>ozaj aralığındaki AUC olmalıdır</w:t>
      </w:r>
      <w:r w:rsidRPr="002C7935">
        <w:rPr>
          <w:rFonts w:ascii="Times New Roman" w:hAnsi="Times New Roman" w:cs="Times New Roman"/>
          <w:sz w:val="24"/>
          <w:szCs w:val="24"/>
        </w:rPr>
        <w:t xml:space="preserve">. İkincil parametreler ise kararlı durumda </w:t>
      </w:r>
      <w:proofErr w:type="spellStart"/>
      <w:r w:rsidRPr="002C7935">
        <w:rPr>
          <w:rFonts w:ascii="Times New Roman" w:hAnsi="Times New Roman" w:cs="Times New Roman"/>
          <w:sz w:val="24"/>
          <w:szCs w:val="24"/>
        </w:rPr>
        <w:t>C</w:t>
      </w:r>
      <w:r w:rsidRPr="005750AA">
        <w:rPr>
          <w:rFonts w:ascii="Times New Roman" w:hAnsi="Times New Roman" w:cs="Times New Roman"/>
          <w:sz w:val="24"/>
          <w:szCs w:val="24"/>
          <w:vertAlign w:val="subscript"/>
        </w:rPr>
        <w:t>maks</w:t>
      </w:r>
      <w:proofErr w:type="spellEnd"/>
      <w:r w:rsidRPr="002C7935">
        <w:rPr>
          <w:rFonts w:ascii="Times New Roman" w:hAnsi="Times New Roman" w:cs="Times New Roman"/>
          <w:sz w:val="24"/>
          <w:szCs w:val="24"/>
        </w:rPr>
        <w:t xml:space="preserve"> ve </w:t>
      </w:r>
      <w:proofErr w:type="spellStart"/>
      <w:r w:rsidRPr="002C7935">
        <w:rPr>
          <w:rFonts w:ascii="Times New Roman" w:hAnsi="Times New Roman" w:cs="Times New Roman"/>
          <w:sz w:val="24"/>
          <w:szCs w:val="24"/>
        </w:rPr>
        <w:t>C</w:t>
      </w:r>
      <w:r w:rsidRPr="005750AA">
        <w:rPr>
          <w:rFonts w:ascii="Times New Roman" w:hAnsi="Times New Roman" w:cs="Times New Roman"/>
          <w:sz w:val="24"/>
          <w:szCs w:val="24"/>
          <w:vertAlign w:val="subscript"/>
        </w:rPr>
        <w:t>trough</w:t>
      </w:r>
      <w:r w:rsidRPr="002C7935">
        <w:rPr>
          <w:rFonts w:ascii="Times New Roman" w:hAnsi="Times New Roman" w:cs="Times New Roman"/>
          <w:sz w:val="24"/>
          <w:szCs w:val="24"/>
        </w:rPr>
        <w:t>’dur</w:t>
      </w:r>
      <w:proofErr w:type="spellEnd"/>
      <w:r w:rsidRPr="002C7935">
        <w:rPr>
          <w:rFonts w:ascii="Times New Roman" w:hAnsi="Times New Roman" w:cs="Times New Roman"/>
          <w:sz w:val="24"/>
          <w:szCs w:val="24"/>
        </w:rPr>
        <w:t>.</w:t>
      </w:r>
    </w:p>
    <w:p w14:paraId="04A8F7C8"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(16) Her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çalışmada, anti</w:t>
      </w:r>
      <w:r>
        <w:rPr>
          <w:rFonts w:ascii="Times New Roman" w:hAnsi="Times New Roman" w:cs="Times New Roman"/>
          <w:sz w:val="24"/>
          <w:szCs w:val="24"/>
        </w:rPr>
        <w:t>-</w:t>
      </w:r>
      <w:r w:rsidRPr="002C7935">
        <w:rPr>
          <w:rFonts w:ascii="Times New Roman" w:hAnsi="Times New Roman" w:cs="Times New Roman"/>
          <w:sz w:val="24"/>
          <w:szCs w:val="24"/>
        </w:rPr>
        <w:t xml:space="preserve">ilaç antikorları, uygun örnekleme zaman noktaları kullanılmak suretiyle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değerlendirmeye paralel olarak ölçülmelidir.</w:t>
      </w:r>
    </w:p>
    <w:p w14:paraId="61367418" w14:textId="77777777" w:rsidR="00336B38" w:rsidRPr="002C7935" w:rsidRDefault="00336B38" w:rsidP="00336B38">
      <w:pPr>
        <w:ind w:right="-567"/>
        <w:jc w:val="both"/>
        <w:rPr>
          <w:rFonts w:ascii="Times New Roman" w:hAnsi="Times New Roman" w:cs="Times New Roman"/>
          <w:sz w:val="24"/>
          <w:szCs w:val="24"/>
        </w:rPr>
      </w:pPr>
    </w:p>
    <w:p w14:paraId="01109EA7" w14:textId="77777777" w:rsidR="00336B38" w:rsidRPr="002C7935" w:rsidRDefault="00336B38" w:rsidP="00336B38">
      <w:pPr>
        <w:ind w:right="-567"/>
        <w:jc w:val="both"/>
        <w:rPr>
          <w:rFonts w:ascii="Times New Roman" w:hAnsi="Times New Roman" w:cs="Times New Roman"/>
          <w:b/>
          <w:sz w:val="24"/>
          <w:szCs w:val="24"/>
        </w:rPr>
      </w:pPr>
      <w:r w:rsidRPr="002C7935">
        <w:rPr>
          <w:rFonts w:ascii="Times New Roman" w:hAnsi="Times New Roman" w:cs="Times New Roman"/>
          <w:b/>
          <w:sz w:val="24"/>
          <w:szCs w:val="24"/>
        </w:rPr>
        <w:t>Farmakodinamik Çalışmalar</w:t>
      </w:r>
    </w:p>
    <w:p w14:paraId="75A32FA7" w14:textId="0AD00175" w:rsidR="00336B38" w:rsidRPr="002C7935" w:rsidRDefault="00336B38" w:rsidP="00336B38">
      <w:pPr>
        <w:ind w:right="-567"/>
        <w:jc w:val="both"/>
        <w:rPr>
          <w:rFonts w:ascii="Times New Roman" w:hAnsi="Times New Roman" w:cs="Times New Roman"/>
          <w:sz w:val="24"/>
          <w:szCs w:val="24"/>
        </w:rPr>
      </w:pPr>
      <w:r w:rsidRPr="008C24BD">
        <w:rPr>
          <w:rFonts w:ascii="Times New Roman" w:hAnsi="Times New Roman" w:cs="Times New Roman"/>
          <w:b/>
          <w:sz w:val="24"/>
          <w:szCs w:val="24"/>
        </w:rPr>
        <w:t xml:space="preserve">MADDE </w:t>
      </w:r>
      <w:r>
        <w:rPr>
          <w:rFonts w:ascii="Times New Roman" w:hAnsi="Times New Roman" w:cs="Times New Roman"/>
          <w:b/>
          <w:sz w:val="24"/>
          <w:szCs w:val="24"/>
        </w:rPr>
        <w:t>20 -</w:t>
      </w:r>
      <w:r w:rsidRPr="002C7935">
        <w:rPr>
          <w:rFonts w:ascii="Times New Roman" w:hAnsi="Times New Roman" w:cs="Times New Roman"/>
          <w:sz w:val="24"/>
          <w:szCs w:val="24"/>
        </w:rPr>
        <w:t xml:space="preserve"> (1) Uygu</w:t>
      </w:r>
      <w:r w:rsidR="00336800">
        <w:rPr>
          <w:rFonts w:ascii="Times New Roman" w:hAnsi="Times New Roman" w:cs="Times New Roman"/>
          <w:sz w:val="24"/>
          <w:szCs w:val="24"/>
        </w:rPr>
        <w:t>n durumlarda, farmakodinamik</w:t>
      </w:r>
      <w:r w:rsidRPr="002C7935">
        <w:rPr>
          <w:rFonts w:ascii="Times New Roman" w:hAnsi="Times New Roman" w:cs="Times New Roman"/>
          <w:sz w:val="24"/>
          <w:szCs w:val="24"/>
        </w:rPr>
        <w:t xml:space="preserve"> belirteçlerin,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çalışmalara ilave edilmesi tavsiye edilmektedir. Farmakodinamik belirteçler, klinik sonlanım ile ilişkileri esasına göre seçilmelidir.</w:t>
      </w:r>
    </w:p>
    <w:p w14:paraId="10680259"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(2) Aşağıda belirtilen koşulların karşılanması şartıyla, belirli durumlarda,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ürün ve referans tıbbi ürünün klinik </w:t>
      </w:r>
      <w:proofErr w:type="spellStart"/>
      <w:r w:rsidRPr="002C7935">
        <w:rPr>
          <w:rFonts w:ascii="Times New Roman" w:hAnsi="Times New Roman" w:cs="Times New Roman"/>
          <w:sz w:val="24"/>
          <w:szCs w:val="24"/>
        </w:rPr>
        <w:t>karşılaştırılabilirliğini</w:t>
      </w:r>
      <w:proofErr w:type="spellEnd"/>
      <w:r w:rsidRPr="002C7935">
        <w:rPr>
          <w:rFonts w:ascii="Times New Roman" w:hAnsi="Times New Roman" w:cs="Times New Roman"/>
          <w:sz w:val="24"/>
          <w:szCs w:val="24"/>
        </w:rPr>
        <w:t xml:space="preserve"> göstermek için karşılaştırmalı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/farmakodinamik çalışmalar yeterli görülebilir:</w:t>
      </w:r>
    </w:p>
    <w:p w14:paraId="012EC5E9" w14:textId="52CBC32E" w:rsidR="00336B38" w:rsidRPr="002C7935" w:rsidRDefault="004716C5" w:rsidP="007035EE">
      <w:pPr>
        <w:ind w:right="-567"/>
        <w:jc w:val="both"/>
        <w:rPr>
          <w:rFonts w:ascii="Times New Roman" w:hAnsi="Times New Roman" w:cs="Times New Roman"/>
          <w:sz w:val="24"/>
          <w:szCs w:val="24"/>
        </w:rPr>
      </w:pPr>
      <w:r>
        <w:rPr>
          <w:rFonts w:ascii="Times New Roman" w:hAnsi="Times New Roman" w:cs="Times New Roman"/>
          <w:sz w:val="24"/>
          <w:szCs w:val="24"/>
        </w:rPr>
        <w:t>a)</w:t>
      </w:r>
      <w:r w:rsidR="00336B38" w:rsidRPr="002C7935">
        <w:rPr>
          <w:rFonts w:ascii="Times New Roman" w:hAnsi="Times New Roman" w:cs="Times New Roman"/>
          <w:sz w:val="24"/>
          <w:szCs w:val="24"/>
        </w:rPr>
        <w:tab/>
        <w:t xml:space="preserve">Seçilen farmakodinamik belirteç/ </w:t>
      </w:r>
      <w:proofErr w:type="spellStart"/>
      <w:r w:rsidR="00336B38" w:rsidRPr="002C7935">
        <w:rPr>
          <w:rFonts w:ascii="Times New Roman" w:hAnsi="Times New Roman" w:cs="Times New Roman"/>
          <w:sz w:val="24"/>
          <w:szCs w:val="24"/>
        </w:rPr>
        <w:t>biyobelirteç</w:t>
      </w:r>
      <w:proofErr w:type="spellEnd"/>
      <w:r w:rsidR="00336B38" w:rsidRPr="002C7935">
        <w:rPr>
          <w:rFonts w:ascii="Times New Roman" w:hAnsi="Times New Roman" w:cs="Times New Roman"/>
          <w:sz w:val="24"/>
          <w:szCs w:val="24"/>
        </w:rPr>
        <w:t xml:space="preserve">, kabul edilmiş vekil bir belirteç konumundadır ve farmakodinamik belirteç üzerinde benzer etkinin gösterilmesi klinik sonlanım üzerinde de benzer bir </w:t>
      </w:r>
      <w:r w:rsidR="00336B38" w:rsidRPr="001F447B">
        <w:rPr>
          <w:rFonts w:ascii="Times New Roman" w:hAnsi="Times New Roman" w:cs="Times New Roman"/>
          <w:sz w:val="24"/>
          <w:szCs w:val="24"/>
        </w:rPr>
        <w:t>etki sağlayacağını garantileyece</w:t>
      </w:r>
      <w:r w:rsidR="00336B38" w:rsidRPr="002C7935">
        <w:rPr>
          <w:rFonts w:ascii="Times New Roman" w:hAnsi="Times New Roman" w:cs="Times New Roman"/>
          <w:sz w:val="24"/>
          <w:szCs w:val="24"/>
        </w:rPr>
        <w:t xml:space="preserve">k derecede hasta </w:t>
      </w:r>
      <w:proofErr w:type="spellStart"/>
      <w:r w:rsidR="00336B38" w:rsidRPr="002C7935">
        <w:rPr>
          <w:rFonts w:ascii="Times New Roman" w:hAnsi="Times New Roman" w:cs="Times New Roman"/>
          <w:sz w:val="24"/>
          <w:szCs w:val="24"/>
        </w:rPr>
        <w:t>sonlanımı</w:t>
      </w:r>
      <w:proofErr w:type="spellEnd"/>
      <w:r w:rsidR="00336B38" w:rsidRPr="002C7935">
        <w:rPr>
          <w:rFonts w:ascii="Times New Roman" w:hAnsi="Times New Roman" w:cs="Times New Roman"/>
          <w:sz w:val="24"/>
          <w:szCs w:val="24"/>
        </w:rPr>
        <w:t xml:space="preserve"> ile ilişkilidir. Konuyla ilgili örnekler şunları içermektedir; </w:t>
      </w:r>
      <w:proofErr w:type="spellStart"/>
      <w:r w:rsidR="00336B38" w:rsidRPr="002C7935">
        <w:rPr>
          <w:rFonts w:ascii="Times New Roman" w:hAnsi="Times New Roman" w:cs="Times New Roman"/>
          <w:sz w:val="24"/>
          <w:szCs w:val="24"/>
        </w:rPr>
        <w:t>granülosit</w:t>
      </w:r>
      <w:proofErr w:type="spellEnd"/>
      <w:r w:rsidR="00336B38" w:rsidRPr="002C7935">
        <w:rPr>
          <w:rFonts w:ascii="Times New Roman" w:hAnsi="Times New Roman" w:cs="Times New Roman"/>
          <w:sz w:val="24"/>
          <w:szCs w:val="24"/>
        </w:rPr>
        <w:t xml:space="preserve"> koloni uyarıcı faktörün</w:t>
      </w:r>
      <w:r w:rsidR="00336B38">
        <w:rPr>
          <w:rFonts w:ascii="Times New Roman" w:hAnsi="Times New Roman" w:cs="Times New Roman"/>
          <w:sz w:val="24"/>
          <w:szCs w:val="24"/>
        </w:rPr>
        <w:t xml:space="preserve"> </w:t>
      </w:r>
      <w:r w:rsidR="00336B38" w:rsidRPr="002C7935">
        <w:rPr>
          <w:rFonts w:ascii="Times New Roman" w:hAnsi="Times New Roman" w:cs="Times New Roman"/>
          <w:sz w:val="24"/>
          <w:szCs w:val="24"/>
        </w:rPr>
        <w:t xml:space="preserve">(G-CSF) etkisini değerlendirmek için mutlak </w:t>
      </w:r>
      <w:proofErr w:type="spellStart"/>
      <w:r w:rsidR="00336B38" w:rsidRPr="002C7935">
        <w:rPr>
          <w:rFonts w:ascii="Times New Roman" w:hAnsi="Times New Roman" w:cs="Times New Roman"/>
          <w:sz w:val="24"/>
          <w:szCs w:val="24"/>
        </w:rPr>
        <w:t>nötrofil</w:t>
      </w:r>
      <w:proofErr w:type="spellEnd"/>
      <w:r w:rsidR="00336B38" w:rsidRPr="002C7935">
        <w:rPr>
          <w:rFonts w:ascii="Times New Roman" w:hAnsi="Times New Roman" w:cs="Times New Roman"/>
          <w:sz w:val="24"/>
          <w:szCs w:val="24"/>
        </w:rPr>
        <w:t xml:space="preserve"> sayımı; alfa interferonların etkisini değerlendirmek için kronik hepatit </w:t>
      </w:r>
      <w:r>
        <w:rPr>
          <w:rFonts w:ascii="Times New Roman" w:hAnsi="Times New Roman" w:cs="Times New Roman"/>
          <w:sz w:val="24"/>
          <w:szCs w:val="24"/>
        </w:rPr>
        <w:t xml:space="preserve">C’de erken </w:t>
      </w:r>
      <w:proofErr w:type="spellStart"/>
      <w:r>
        <w:rPr>
          <w:rFonts w:ascii="Times New Roman" w:hAnsi="Times New Roman" w:cs="Times New Roman"/>
          <w:sz w:val="24"/>
          <w:szCs w:val="24"/>
        </w:rPr>
        <w:t>viral</w:t>
      </w:r>
      <w:proofErr w:type="spellEnd"/>
      <w:r>
        <w:rPr>
          <w:rFonts w:ascii="Times New Roman" w:hAnsi="Times New Roman" w:cs="Times New Roman"/>
          <w:sz w:val="24"/>
          <w:szCs w:val="24"/>
        </w:rPr>
        <w:t xml:space="preserve"> yük azaltma ve</w:t>
      </w:r>
      <w:r w:rsidR="00336B38" w:rsidRPr="002C7935">
        <w:rPr>
          <w:rFonts w:ascii="Times New Roman" w:hAnsi="Times New Roman" w:cs="Times New Roman"/>
          <w:sz w:val="24"/>
          <w:szCs w:val="24"/>
        </w:rPr>
        <w:t xml:space="preserve"> iki insülini karşılaştı</w:t>
      </w:r>
      <w:r>
        <w:rPr>
          <w:rFonts w:ascii="Times New Roman" w:hAnsi="Times New Roman" w:cs="Times New Roman"/>
          <w:sz w:val="24"/>
          <w:szCs w:val="24"/>
        </w:rPr>
        <w:t xml:space="preserve">rmak için </w:t>
      </w:r>
      <w:proofErr w:type="spellStart"/>
      <w:r>
        <w:rPr>
          <w:rFonts w:ascii="Times New Roman" w:hAnsi="Times New Roman" w:cs="Times New Roman"/>
          <w:sz w:val="24"/>
          <w:szCs w:val="24"/>
        </w:rPr>
        <w:t>öglisemik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klemp</w:t>
      </w:r>
      <w:proofErr w:type="spellEnd"/>
      <w:r>
        <w:rPr>
          <w:rFonts w:ascii="Times New Roman" w:hAnsi="Times New Roman" w:cs="Times New Roman"/>
          <w:sz w:val="24"/>
          <w:szCs w:val="24"/>
        </w:rPr>
        <w:t xml:space="preserve"> testi,</w:t>
      </w:r>
      <w:r w:rsidR="00336B38" w:rsidRPr="001F447B">
        <w:rPr>
          <w:rFonts w:ascii="Times New Roman" w:hAnsi="Times New Roman" w:cs="Times New Roman"/>
          <w:sz w:val="24"/>
          <w:szCs w:val="24"/>
        </w:rPr>
        <w:t xml:space="preserve"> </w:t>
      </w:r>
      <w:r>
        <w:rPr>
          <w:rFonts w:ascii="Times New Roman" w:hAnsi="Times New Roman" w:cs="Times New Roman"/>
          <w:sz w:val="24"/>
          <w:szCs w:val="24"/>
        </w:rPr>
        <w:t>h</w:t>
      </w:r>
      <w:r w:rsidR="00336B38" w:rsidRPr="002C7935">
        <w:rPr>
          <w:rFonts w:ascii="Times New Roman" w:hAnsi="Times New Roman" w:cs="Times New Roman"/>
          <w:sz w:val="24"/>
          <w:szCs w:val="24"/>
        </w:rPr>
        <w:t xml:space="preserve">astalık lezyonlarının manyetik </w:t>
      </w:r>
      <w:proofErr w:type="gramStart"/>
      <w:r w:rsidR="00336B38" w:rsidRPr="002C7935">
        <w:rPr>
          <w:rFonts w:ascii="Times New Roman" w:hAnsi="Times New Roman" w:cs="Times New Roman"/>
          <w:sz w:val="24"/>
          <w:szCs w:val="24"/>
        </w:rPr>
        <w:t>rezonans</w:t>
      </w:r>
      <w:proofErr w:type="gramEnd"/>
      <w:r w:rsidR="00336B38" w:rsidRPr="002C7935">
        <w:rPr>
          <w:rFonts w:ascii="Times New Roman" w:hAnsi="Times New Roman" w:cs="Times New Roman"/>
          <w:sz w:val="24"/>
          <w:szCs w:val="24"/>
        </w:rPr>
        <w:t xml:space="preserve"> görüntülemesi,</w:t>
      </w:r>
      <w:r w:rsidR="00336B38" w:rsidRPr="001F447B">
        <w:rPr>
          <w:rFonts w:ascii="Times New Roman" w:hAnsi="Times New Roman" w:cs="Times New Roman"/>
          <w:sz w:val="24"/>
          <w:szCs w:val="24"/>
        </w:rPr>
        <w:t xml:space="preserve"> </w:t>
      </w:r>
      <w:proofErr w:type="spellStart"/>
      <w:r w:rsidR="00336B38" w:rsidRPr="002C7935">
        <w:rPr>
          <w:rFonts w:ascii="Times New Roman" w:hAnsi="Times New Roman" w:cs="Times New Roman"/>
          <w:sz w:val="24"/>
          <w:szCs w:val="24"/>
        </w:rPr>
        <w:t>multipl</w:t>
      </w:r>
      <w:proofErr w:type="spellEnd"/>
      <w:r w:rsidR="00336B38" w:rsidRPr="002C7935">
        <w:rPr>
          <w:rFonts w:ascii="Times New Roman" w:hAnsi="Times New Roman" w:cs="Times New Roman"/>
          <w:sz w:val="24"/>
          <w:szCs w:val="24"/>
        </w:rPr>
        <w:t xml:space="preserve"> </w:t>
      </w:r>
      <w:r w:rsidR="00336B38" w:rsidRPr="001F447B">
        <w:rPr>
          <w:rFonts w:ascii="Times New Roman" w:hAnsi="Times New Roman" w:cs="Times New Roman"/>
          <w:sz w:val="24"/>
          <w:szCs w:val="24"/>
        </w:rPr>
        <w:t>sklerozda</w:t>
      </w:r>
      <w:r w:rsidR="00336B38" w:rsidRPr="00C01A07">
        <w:rPr>
          <w:rFonts w:ascii="Times New Roman" w:hAnsi="Times New Roman" w:cs="Times New Roman"/>
          <w:sz w:val="24"/>
          <w:szCs w:val="24"/>
        </w:rPr>
        <w:t xml:space="preserve"> (MS) iki beta interferonu </w:t>
      </w:r>
      <w:r w:rsidR="00336B38" w:rsidRPr="002C7935">
        <w:rPr>
          <w:rFonts w:ascii="Times New Roman" w:hAnsi="Times New Roman" w:cs="Times New Roman"/>
          <w:sz w:val="24"/>
          <w:szCs w:val="24"/>
        </w:rPr>
        <w:t>karşılaştırmak için kullanılabilir.</w:t>
      </w:r>
    </w:p>
    <w:p w14:paraId="7A6B2A3F" w14:textId="77777777" w:rsidR="00336B38" w:rsidRPr="002C7935" w:rsidRDefault="00336B38" w:rsidP="00336B38">
      <w:pPr>
        <w:ind w:right="-567"/>
        <w:jc w:val="both"/>
        <w:rPr>
          <w:rFonts w:ascii="Times New Roman" w:hAnsi="Times New Roman" w:cs="Times New Roman"/>
          <w:sz w:val="24"/>
          <w:szCs w:val="24"/>
        </w:rPr>
      </w:pPr>
    </w:p>
    <w:p w14:paraId="7C40B256" w14:textId="09C73C06" w:rsidR="00336B38" w:rsidRDefault="004716C5" w:rsidP="00336B38">
      <w:pPr>
        <w:ind w:right="-567"/>
        <w:jc w:val="both"/>
        <w:rPr>
          <w:rFonts w:ascii="Times New Roman" w:hAnsi="Times New Roman" w:cs="Times New Roman"/>
          <w:sz w:val="24"/>
          <w:szCs w:val="24"/>
        </w:rPr>
      </w:pPr>
      <w:r>
        <w:rPr>
          <w:rFonts w:ascii="Times New Roman" w:hAnsi="Times New Roman" w:cs="Times New Roman"/>
          <w:sz w:val="24"/>
          <w:szCs w:val="24"/>
        </w:rPr>
        <w:lastRenderedPageBreak/>
        <w:t>b)</w:t>
      </w:r>
      <w:r w:rsidR="00336B38" w:rsidRPr="002C7935">
        <w:rPr>
          <w:rFonts w:ascii="Times New Roman" w:hAnsi="Times New Roman" w:cs="Times New Roman"/>
          <w:sz w:val="24"/>
          <w:szCs w:val="24"/>
        </w:rPr>
        <w:tab/>
        <w:t xml:space="preserve">Vekil belirteç olarak kabul edilmediği halde etkin maddenin farmakolojik etkisini gösteren ve açık bir doz-yanıt ya da </w:t>
      </w:r>
      <w:proofErr w:type="gramStart"/>
      <w:r w:rsidR="00336B38" w:rsidRPr="002C7935">
        <w:rPr>
          <w:rFonts w:ascii="Times New Roman" w:hAnsi="Times New Roman" w:cs="Times New Roman"/>
          <w:sz w:val="24"/>
          <w:szCs w:val="24"/>
        </w:rPr>
        <w:t>konsantra</w:t>
      </w:r>
      <w:r w:rsidR="00336B38" w:rsidRPr="001F447B">
        <w:rPr>
          <w:rFonts w:ascii="Times New Roman" w:hAnsi="Times New Roman" w:cs="Times New Roman"/>
          <w:sz w:val="24"/>
          <w:szCs w:val="24"/>
        </w:rPr>
        <w:t>syon</w:t>
      </w:r>
      <w:proofErr w:type="gramEnd"/>
      <w:r w:rsidR="00336B38" w:rsidRPr="001F447B">
        <w:rPr>
          <w:rFonts w:ascii="Times New Roman" w:hAnsi="Times New Roman" w:cs="Times New Roman"/>
          <w:sz w:val="24"/>
          <w:szCs w:val="24"/>
        </w:rPr>
        <w:t>-yanıt ilişkisi gösterilen F</w:t>
      </w:r>
      <w:r w:rsidR="00336B38" w:rsidRPr="002C7935">
        <w:rPr>
          <w:rFonts w:ascii="Times New Roman" w:hAnsi="Times New Roman" w:cs="Times New Roman"/>
          <w:sz w:val="24"/>
          <w:szCs w:val="24"/>
        </w:rPr>
        <w:t>D belirteçler de bulunabilir. Bu durumda,</w:t>
      </w:r>
      <w:r w:rsidR="00336B38">
        <w:rPr>
          <w:rFonts w:ascii="Times New Roman" w:hAnsi="Times New Roman" w:cs="Times New Roman"/>
          <w:sz w:val="24"/>
          <w:szCs w:val="24"/>
        </w:rPr>
        <w:t xml:space="preserve"> </w:t>
      </w:r>
      <w:r w:rsidR="00336B38" w:rsidRPr="002C7935">
        <w:rPr>
          <w:rFonts w:ascii="Times New Roman" w:hAnsi="Times New Roman" w:cs="Times New Roman"/>
          <w:sz w:val="24"/>
          <w:szCs w:val="24"/>
        </w:rPr>
        <w:t>iki veya daha fazla doz seviyesinde tek veya çoklu doz-</w:t>
      </w:r>
      <w:proofErr w:type="spellStart"/>
      <w:r w:rsidR="00336B38">
        <w:rPr>
          <w:rFonts w:ascii="Times New Roman" w:hAnsi="Times New Roman" w:cs="Times New Roman"/>
          <w:sz w:val="24"/>
          <w:szCs w:val="24"/>
        </w:rPr>
        <w:t>maruziyet</w:t>
      </w:r>
      <w:proofErr w:type="spellEnd"/>
      <w:r w:rsidR="00336B38">
        <w:rPr>
          <w:rFonts w:ascii="Times New Roman" w:hAnsi="Times New Roman" w:cs="Times New Roman"/>
          <w:sz w:val="24"/>
          <w:szCs w:val="24"/>
        </w:rPr>
        <w:t>-</w:t>
      </w:r>
      <w:r w:rsidR="00336B38" w:rsidRPr="002C7935">
        <w:rPr>
          <w:rFonts w:ascii="Times New Roman" w:hAnsi="Times New Roman" w:cs="Times New Roman"/>
          <w:sz w:val="24"/>
          <w:szCs w:val="24"/>
        </w:rPr>
        <w:t xml:space="preserve">yanıt çalışması, klinik etkililik çalışmasından </w:t>
      </w:r>
      <w:r w:rsidR="00336B38">
        <w:rPr>
          <w:rFonts w:ascii="Times New Roman" w:hAnsi="Times New Roman" w:cs="Times New Roman"/>
          <w:sz w:val="24"/>
          <w:szCs w:val="24"/>
        </w:rPr>
        <w:t>muafiyet i</w:t>
      </w:r>
      <w:r w:rsidR="00336B38" w:rsidRPr="002C7935">
        <w:rPr>
          <w:rFonts w:ascii="Times New Roman" w:hAnsi="Times New Roman" w:cs="Times New Roman"/>
          <w:sz w:val="24"/>
          <w:szCs w:val="24"/>
        </w:rPr>
        <w:t>çin yeterli olabilir.</w:t>
      </w:r>
      <w:r w:rsidR="00336B38">
        <w:rPr>
          <w:rFonts w:ascii="Times New Roman" w:hAnsi="Times New Roman" w:cs="Times New Roman"/>
          <w:sz w:val="24"/>
          <w:szCs w:val="24"/>
        </w:rPr>
        <w:t xml:space="preserve"> B</w:t>
      </w:r>
      <w:r w:rsidR="00336B38" w:rsidRPr="002C7935">
        <w:rPr>
          <w:rFonts w:ascii="Times New Roman" w:hAnsi="Times New Roman" w:cs="Times New Roman"/>
          <w:sz w:val="24"/>
          <w:szCs w:val="24"/>
        </w:rPr>
        <w:t xml:space="preserve">u tasarım, </w:t>
      </w:r>
      <w:proofErr w:type="spellStart"/>
      <w:r w:rsidR="00336B38" w:rsidRPr="002C7935">
        <w:rPr>
          <w:rFonts w:ascii="Times New Roman" w:hAnsi="Times New Roman" w:cs="Times New Roman"/>
          <w:sz w:val="24"/>
          <w:szCs w:val="24"/>
        </w:rPr>
        <w:t>biyobenzer</w:t>
      </w:r>
      <w:proofErr w:type="spellEnd"/>
      <w:r w:rsidR="00336B38" w:rsidRPr="002C7935">
        <w:rPr>
          <w:rFonts w:ascii="Times New Roman" w:hAnsi="Times New Roman" w:cs="Times New Roman"/>
          <w:sz w:val="24"/>
          <w:szCs w:val="24"/>
        </w:rPr>
        <w:t xml:space="preserve"> </w:t>
      </w:r>
      <w:r w:rsidR="00336B38">
        <w:rPr>
          <w:rFonts w:ascii="Times New Roman" w:hAnsi="Times New Roman" w:cs="Times New Roman"/>
          <w:sz w:val="24"/>
          <w:szCs w:val="24"/>
        </w:rPr>
        <w:t xml:space="preserve">tıbbi ürün </w:t>
      </w:r>
      <w:r w:rsidR="00336B38" w:rsidRPr="002C7935">
        <w:rPr>
          <w:rFonts w:ascii="Times New Roman" w:hAnsi="Times New Roman" w:cs="Times New Roman"/>
          <w:sz w:val="24"/>
          <w:szCs w:val="24"/>
        </w:rPr>
        <w:t>ve referans</w:t>
      </w:r>
      <w:r w:rsidR="00336B38">
        <w:rPr>
          <w:rFonts w:ascii="Times New Roman" w:hAnsi="Times New Roman" w:cs="Times New Roman"/>
          <w:sz w:val="24"/>
          <w:szCs w:val="24"/>
        </w:rPr>
        <w:t xml:space="preserve"> tıbbi</w:t>
      </w:r>
      <w:r w:rsidR="00336B38" w:rsidRPr="002C7935">
        <w:rPr>
          <w:rFonts w:ascii="Times New Roman" w:hAnsi="Times New Roman" w:cs="Times New Roman"/>
          <w:sz w:val="24"/>
          <w:szCs w:val="24"/>
        </w:rPr>
        <w:t xml:space="preserve"> ürünün, doz yanıt eğrisinin </w:t>
      </w:r>
      <w:r w:rsidR="00336B38">
        <w:rPr>
          <w:rFonts w:ascii="Times New Roman" w:hAnsi="Times New Roman" w:cs="Times New Roman"/>
          <w:sz w:val="24"/>
          <w:szCs w:val="24"/>
        </w:rPr>
        <w:t xml:space="preserve">dik kısmı içerisinde </w:t>
      </w:r>
      <w:r w:rsidR="00336B38" w:rsidRPr="002C7935">
        <w:rPr>
          <w:rFonts w:ascii="Times New Roman" w:hAnsi="Times New Roman" w:cs="Times New Roman"/>
          <w:sz w:val="24"/>
          <w:szCs w:val="24"/>
        </w:rPr>
        <w:t xml:space="preserve">karşılaştırılabilmesini </w:t>
      </w:r>
      <w:r w:rsidR="00336B38">
        <w:rPr>
          <w:rFonts w:ascii="Times New Roman" w:hAnsi="Times New Roman" w:cs="Times New Roman"/>
          <w:sz w:val="24"/>
          <w:szCs w:val="24"/>
        </w:rPr>
        <w:t>garantileyecektir.</w:t>
      </w:r>
      <w:r w:rsidR="00336B38" w:rsidRPr="002C7935">
        <w:rPr>
          <w:rFonts w:ascii="Times New Roman" w:hAnsi="Times New Roman" w:cs="Times New Roman"/>
          <w:sz w:val="24"/>
          <w:szCs w:val="24"/>
        </w:rPr>
        <w:t xml:space="preserve"> </w:t>
      </w:r>
    </w:p>
    <w:p w14:paraId="590697EF" w14:textId="77777777" w:rsidR="00336B38" w:rsidRPr="002C7935" w:rsidRDefault="00336B38" w:rsidP="00336B38">
      <w:pPr>
        <w:ind w:right="-567"/>
        <w:jc w:val="both"/>
        <w:rPr>
          <w:rFonts w:ascii="Times New Roman" w:hAnsi="Times New Roman" w:cs="Times New Roman"/>
          <w:sz w:val="24"/>
          <w:szCs w:val="24"/>
        </w:rPr>
      </w:pPr>
    </w:p>
    <w:p w14:paraId="6CFF8E0E" w14:textId="121FDDBD" w:rsidR="00336B38" w:rsidRDefault="007035EE" w:rsidP="00336B38">
      <w:pPr>
        <w:ind w:right="-567"/>
        <w:jc w:val="both"/>
        <w:rPr>
          <w:rFonts w:ascii="Times New Roman" w:hAnsi="Times New Roman" w:cs="Times New Roman"/>
          <w:sz w:val="24"/>
          <w:szCs w:val="24"/>
        </w:rPr>
      </w:pPr>
      <w:r>
        <w:rPr>
          <w:rFonts w:ascii="Times New Roman" w:hAnsi="Times New Roman" w:cs="Times New Roman"/>
          <w:sz w:val="24"/>
          <w:szCs w:val="24"/>
        </w:rPr>
        <w:t>c)</w:t>
      </w:r>
      <w:r w:rsidR="00336B38" w:rsidRPr="002C7935" w:rsidDel="00542A77">
        <w:rPr>
          <w:rFonts w:ascii="Times New Roman" w:hAnsi="Times New Roman" w:cs="Times New Roman"/>
          <w:sz w:val="24"/>
          <w:szCs w:val="24"/>
        </w:rPr>
        <w:t xml:space="preserve"> </w:t>
      </w:r>
      <w:r w:rsidR="00336B38">
        <w:rPr>
          <w:rFonts w:ascii="Times New Roman" w:hAnsi="Times New Roman" w:cs="Times New Roman"/>
          <w:sz w:val="24"/>
          <w:szCs w:val="24"/>
        </w:rPr>
        <w:tab/>
      </w:r>
      <w:r w:rsidR="00336B38" w:rsidRPr="002C7935">
        <w:rPr>
          <w:rFonts w:ascii="Times New Roman" w:hAnsi="Times New Roman" w:cs="Times New Roman"/>
          <w:sz w:val="24"/>
          <w:szCs w:val="24"/>
        </w:rPr>
        <w:t xml:space="preserve">İstisnai vakalarda, eğer </w:t>
      </w:r>
      <w:proofErr w:type="spellStart"/>
      <w:r w:rsidR="00336B38" w:rsidRPr="002C7935">
        <w:rPr>
          <w:rFonts w:ascii="Times New Roman" w:hAnsi="Times New Roman" w:cs="Times New Roman"/>
          <w:sz w:val="24"/>
          <w:szCs w:val="24"/>
        </w:rPr>
        <w:t>fizikokimyasal</w:t>
      </w:r>
      <w:proofErr w:type="spellEnd"/>
      <w:r w:rsidR="00336B38" w:rsidRPr="002C7935">
        <w:rPr>
          <w:rFonts w:ascii="Times New Roman" w:hAnsi="Times New Roman" w:cs="Times New Roman"/>
          <w:sz w:val="24"/>
          <w:szCs w:val="24"/>
        </w:rPr>
        <w:t xml:space="preserve">, yapısal ve </w:t>
      </w:r>
      <w:r w:rsidR="00336B38" w:rsidRPr="007035EE">
        <w:rPr>
          <w:rFonts w:ascii="Times New Roman" w:hAnsi="Times New Roman" w:cs="Times New Roman"/>
          <w:i/>
          <w:sz w:val="24"/>
          <w:szCs w:val="24"/>
        </w:rPr>
        <w:t xml:space="preserve">in </w:t>
      </w:r>
      <w:proofErr w:type="spellStart"/>
      <w:r w:rsidR="00336B38" w:rsidRPr="007035EE">
        <w:rPr>
          <w:rFonts w:ascii="Times New Roman" w:hAnsi="Times New Roman" w:cs="Times New Roman"/>
          <w:i/>
          <w:sz w:val="24"/>
          <w:szCs w:val="24"/>
        </w:rPr>
        <w:t>vitro</w:t>
      </w:r>
      <w:proofErr w:type="spellEnd"/>
      <w:r w:rsidR="00336B38" w:rsidRPr="002C7935">
        <w:rPr>
          <w:rFonts w:ascii="Times New Roman" w:hAnsi="Times New Roman" w:cs="Times New Roman"/>
          <w:sz w:val="24"/>
          <w:szCs w:val="24"/>
        </w:rPr>
        <w:t xml:space="preserve"> biyolojik analizler </w:t>
      </w:r>
      <w:r w:rsidR="00336B38">
        <w:rPr>
          <w:rFonts w:ascii="Times New Roman" w:hAnsi="Times New Roman" w:cs="Times New Roman"/>
          <w:sz w:val="24"/>
          <w:szCs w:val="24"/>
        </w:rPr>
        <w:t xml:space="preserve">ile </w:t>
      </w:r>
      <w:r w:rsidR="00336B38" w:rsidRPr="002C7935">
        <w:rPr>
          <w:rFonts w:ascii="Times New Roman" w:hAnsi="Times New Roman" w:cs="Times New Roman"/>
          <w:sz w:val="24"/>
          <w:szCs w:val="24"/>
        </w:rPr>
        <w:t xml:space="preserve">etkin maddenin farmakolojik etkisini ve </w:t>
      </w:r>
      <w:proofErr w:type="gramStart"/>
      <w:r w:rsidR="00336B38" w:rsidRPr="002C7935">
        <w:rPr>
          <w:rFonts w:ascii="Times New Roman" w:hAnsi="Times New Roman" w:cs="Times New Roman"/>
          <w:sz w:val="24"/>
          <w:szCs w:val="24"/>
        </w:rPr>
        <w:t>konsantrasyonunu</w:t>
      </w:r>
      <w:proofErr w:type="gramEnd"/>
      <w:r w:rsidR="00336B38" w:rsidRPr="002C7935">
        <w:rPr>
          <w:rFonts w:ascii="Times New Roman" w:hAnsi="Times New Roman" w:cs="Times New Roman"/>
          <w:sz w:val="24"/>
          <w:szCs w:val="24"/>
        </w:rPr>
        <w:t xml:space="preserve"> yansıtan farmakodinamik belirteçler</w:t>
      </w:r>
      <w:r w:rsidR="00336B38">
        <w:rPr>
          <w:rFonts w:ascii="Times New Roman" w:hAnsi="Times New Roman" w:cs="Times New Roman"/>
          <w:sz w:val="24"/>
          <w:szCs w:val="24"/>
        </w:rPr>
        <w:t xml:space="preserve">le </w:t>
      </w:r>
      <w:r w:rsidR="00336B38" w:rsidRPr="002C7935">
        <w:rPr>
          <w:rFonts w:ascii="Times New Roman" w:hAnsi="Times New Roman" w:cs="Times New Roman"/>
          <w:sz w:val="24"/>
          <w:szCs w:val="24"/>
        </w:rPr>
        <w:t>kombin</w:t>
      </w:r>
      <w:r w:rsidR="00336B38">
        <w:rPr>
          <w:rFonts w:ascii="Times New Roman" w:hAnsi="Times New Roman" w:cs="Times New Roman"/>
          <w:sz w:val="24"/>
          <w:szCs w:val="24"/>
        </w:rPr>
        <w:t>e</w:t>
      </w:r>
      <w:r w:rsidR="00336B38" w:rsidRPr="002C7935">
        <w:rPr>
          <w:rFonts w:ascii="Times New Roman" w:hAnsi="Times New Roman" w:cs="Times New Roman"/>
          <w:sz w:val="24"/>
          <w:szCs w:val="24"/>
        </w:rPr>
        <w:t xml:space="preserve"> insan </w:t>
      </w:r>
      <w:proofErr w:type="spellStart"/>
      <w:r w:rsidR="00336B38" w:rsidRPr="002C7935">
        <w:rPr>
          <w:rFonts w:ascii="Times New Roman" w:hAnsi="Times New Roman" w:cs="Times New Roman"/>
          <w:sz w:val="24"/>
          <w:szCs w:val="24"/>
        </w:rPr>
        <w:t>farmakokinetik</w:t>
      </w:r>
      <w:proofErr w:type="spellEnd"/>
      <w:r w:rsidR="00336B38" w:rsidRPr="002C7935">
        <w:rPr>
          <w:rFonts w:ascii="Times New Roman" w:hAnsi="Times New Roman" w:cs="Times New Roman"/>
          <w:sz w:val="24"/>
          <w:szCs w:val="24"/>
        </w:rPr>
        <w:t xml:space="preserve"> çalışmaları</w:t>
      </w:r>
      <w:r w:rsidR="00336B38" w:rsidRPr="001F447B">
        <w:rPr>
          <w:rFonts w:ascii="Times New Roman" w:hAnsi="Times New Roman" w:cs="Times New Roman"/>
          <w:sz w:val="24"/>
          <w:szCs w:val="24"/>
        </w:rPr>
        <w:t xml:space="preserve"> </w:t>
      </w:r>
      <w:proofErr w:type="spellStart"/>
      <w:r w:rsidR="00336B38" w:rsidRPr="002C7935">
        <w:rPr>
          <w:rFonts w:ascii="Times New Roman" w:hAnsi="Times New Roman" w:cs="Times New Roman"/>
          <w:sz w:val="24"/>
          <w:szCs w:val="24"/>
        </w:rPr>
        <w:t>biyobenzer</w:t>
      </w:r>
      <w:proofErr w:type="spellEnd"/>
      <w:r w:rsidR="00336B38" w:rsidRPr="002C7935">
        <w:rPr>
          <w:rFonts w:ascii="Times New Roman" w:hAnsi="Times New Roman" w:cs="Times New Roman"/>
          <w:sz w:val="24"/>
          <w:szCs w:val="24"/>
        </w:rPr>
        <w:t xml:space="preserve"> </w:t>
      </w:r>
      <w:proofErr w:type="spellStart"/>
      <w:r w:rsidR="00336B38" w:rsidRPr="002C7935">
        <w:rPr>
          <w:rFonts w:ascii="Times New Roman" w:hAnsi="Times New Roman" w:cs="Times New Roman"/>
          <w:sz w:val="24"/>
          <w:szCs w:val="24"/>
        </w:rPr>
        <w:t>karşılaştırılabilirlik</w:t>
      </w:r>
      <w:proofErr w:type="spellEnd"/>
      <w:r w:rsidR="00336B38" w:rsidRPr="002C7935">
        <w:rPr>
          <w:rFonts w:ascii="Times New Roman" w:hAnsi="Times New Roman" w:cs="Times New Roman"/>
          <w:sz w:val="24"/>
          <w:szCs w:val="24"/>
        </w:rPr>
        <w:t xml:space="preserve"> için güçlü kanıtlar sağlayabiliyor ise,</w:t>
      </w:r>
      <w:r w:rsidR="00336B38" w:rsidRPr="001F447B">
        <w:rPr>
          <w:rFonts w:ascii="Times New Roman" w:hAnsi="Times New Roman" w:cs="Times New Roman"/>
          <w:sz w:val="24"/>
          <w:szCs w:val="24"/>
        </w:rPr>
        <w:t xml:space="preserve"> </w:t>
      </w:r>
      <w:r w:rsidR="00336B38" w:rsidRPr="002C7935">
        <w:rPr>
          <w:rFonts w:ascii="Times New Roman" w:hAnsi="Times New Roman" w:cs="Times New Roman"/>
          <w:sz w:val="24"/>
          <w:szCs w:val="24"/>
        </w:rPr>
        <w:t xml:space="preserve">doğrulayıcı klinik çalışmadan </w:t>
      </w:r>
      <w:r w:rsidR="00336B38">
        <w:rPr>
          <w:rFonts w:ascii="Times New Roman" w:hAnsi="Times New Roman" w:cs="Times New Roman"/>
          <w:sz w:val="24"/>
          <w:szCs w:val="24"/>
        </w:rPr>
        <w:t>muafiyet söz konusu olabilir</w:t>
      </w:r>
      <w:r w:rsidR="00336B38" w:rsidRPr="002C7935">
        <w:rPr>
          <w:rFonts w:ascii="Times New Roman" w:hAnsi="Times New Roman" w:cs="Times New Roman"/>
          <w:sz w:val="24"/>
          <w:szCs w:val="24"/>
        </w:rPr>
        <w:t xml:space="preserve">. </w:t>
      </w:r>
    </w:p>
    <w:p w14:paraId="22F98DF3" w14:textId="1A4AC3CB" w:rsidR="00336B38" w:rsidRPr="002C7935" w:rsidRDefault="00336B38" w:rsidP="00336B38">
      <w:pPr>
        <w:ind w:right="-567"/>
        <w:jc w:val="both"/>
        <w:rPr>
          <w:rFonts w:ascii="Times New Roman" w:hAnsi="Times New Roman" w:cs="Times New Roman"/>
          <w:sz w:val="24"/>
          <w:szCs w:val="24"/>
        </w:rPr>
      </w:pPr>
      <w:r>
        <w:rPr>
          <w:rFonts w:ascii="Times New Roman" w:hAnsi="Times New Roman" w:cs="Times New Roman"/>
          <w:sz w:val="24"/>
          <w:szCs w:val="24"/>
        </w:rPr>
        <w:t xml:space="preserve">(3) </w:t>
      </w:r>
      <w:r w:rsidRPr="002C7935">
        <w:rPr>
          <w:rFonts w:ascii="Times New Roman" w:hAnsi="Times New Roman" w:cs="Times New Roman"/>
          <w:sz w:val="24"/>
          <w:szCs w:val="24"/>
        </w:rPr>
        <w:t xml:space="preserve">Klinik </w:t>
      </w:r>
      <w:proofErr w:type="spellStart"/>
      <w:r w:rsidRPr="002C7935">
        <w:rPr>
          <w:rFonts w:ascii="Times New Roman" w:hAnsi="Times New Roman" w:cs="Times New Roman"/>
          <w:sz w:val="24"/>
          <w:szCs w:val="24"/>
        </w:rPr>
        <w:t>biyobenzerlik</w:t>
      </w:r>
      <w:proofErr w:type="spellEnd"/>
      <w:r w:rsidRPr="002C7935">
        <w:rPr>
          <w:rFonts w:ascii="Times New Roman" w:hAnsi="Times New Roman" w:cs="Times New Roman"/>
          <w:sz w:val="24"/>
          <w:szCs w:val="24"/>
        </w:rPr>
        <w:t xml:space="preserve"> için kanıtlar, vekil olmayan farmakodinamik / </w:t>
      </w:r>
      <w:proofErr w:type="spellStart"/>
      <w:r w:rsidRPr="002C7935">
        <w:rPr>
          <w:rFonts w:ascii="Times New Roman" w:hAnsi="Times New Roman" w:cs="Times New Roman"/>
          <w:sz w:val="24"/>
          <w:szCs w:val="24"/>
        </w:rPr>
        <w:t>biyobelirteçler</w:t>
      </w:r>
      <w:proofErr w:type="spellEnd"/>
      <w:r w:rsidRPr="002C7935">
        <w:rPr>
          <w:rFonts w:ascii="Times New Roman" w:hAnsi="Times New Roman" w:cs="Times New Roman"/>
          <w:sz w:val="24"/>
          <w:szCs w:val="24"/>
        </w:rPr>
        <w:t xml:space="preserve"> ile gerçekleştirilen çalışmalarla desteklenen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çalışmalardan elde edilecekse, bu tür bir “</w:t>
      </w:r>
      <w:proofErr w:type="spellStart"/>
      <w:r w:rsidRPr="002C7935">
        <w:rPr>
          <w:rFonts w:ascii="Times New Roman" w:hAnsi="Times New Roman" w:cs="Times New Roman"/>
          <w:sz w:val="24"/>
          <w:szCs w:val="24"/>
        </w:rPr>
        <w:t>parmakizi</w:t>
      </w:r>
      <w:proofErr w:type="spellEnd"/>
      <w:r w:rsidRPr="002C7935">
        <w:rPr>
          <w:rFonts w:ascii="Times New Roman" w:hAnsi="Times New Roman" w:cs="Times New Roman"/>
          <w:sz w:val="24"/>
          <w:szCs w:val="24"/>
        </w:rPr>
        <w:t xml:space="preserve">” yaklaşımının </w:t>
      </w:r>
      <w:r w:rsidRPr="001F447B">
        <w:rPr>
          <w:rFonts w:ascii="Times New Roman" w:hAnsi="Times New Roman" w:cs="Times New Roman"/>
          <w:sz w:val="24"/>
          <w:szCs w:val="24"/>
        </w:rPr>
        <w:t>Kurum</w:t>
      </w:r>
      <w:r w:rsidRPr="002C7935">
        <w:rPr>
          <w:rFonts w:ascii="Times New Roman" w:hAnsi="Times New Roman" w:cs="Times New Roman"/>
          <w:sz w:val="24"/>
          <w:szCs w:val="24"/>
        </w:rPr>
        <w:t xml:space="preserve"> ile müzakere edilmesi tavsiye edilmektedir. Plan, klinik gerekçeleri ile birlikte eşdeğerlik sınırlarının </w:t>
      </w:r>
      <w:r>
        <w:rPr>
          <w:rFonts w:ascii="Times New Roman" w:hAnsi="Times New Roman" w:cs="Times New Roman"/>
          <w:sz w:val="24"/>
          <w:szCs w:val="24"/>
        </w:rPr>
        <w:t>genişliğine ilişkin bir öneri</w:t>
      </w:r>
      <w:r w:rsidR="00551D17">
        <w:rPr>
          <w:rFonts w:ascii="Times New Roman" w:hAnsi="Times New Roman" w:cs="Times New Roman"/>
          <w:sz w:val="24"/>
          <w:szCs w:val="24"/>
        </w:rPr>
        <w:t>nin</w:t>
      </w:r>
      <w:r>
        <w:rPr>
          <w:rFonts w:ascii="Times New Roman" w:hAnsi="Times New Roman" w:cs="Times New Roman"/>
          <w:sz w:val="24"/>
          <w:szCs w:val="24"/>
        </w:rPr>
        <w:t xml:space="preserve"> </w:t>
      </w:r>
      <w:r w:rsidRPr="002C7935">
        <w:rPr>
          <w:rFonts w:ascii="Times New Roman" w:hAnsi="Times New Roman" w:cs="Times New Roman"/>
          <w:sz w:val="24"/>
          <w:szCs w:val="24"/>
        </w:rPr>
        <w:t>yanı</w:t>
      </w:r>
      <w:r w:rsidR="00551D17">
        <w:rPr>
          <w:rFonts w:ascii="Times New Roman" w:hAnsi="Times New Roman" w:cs="Times New Roman"/>
          <w:sz w:val="24"/>
          <w:szCs w:val="24"/>
        </w:rPr>
        <w:t xml:space="preserve"> </w:t>
      </w:r>
      <w:r w:rsidRPr="002C7935">
        <w:rPr>
          <w:rFonts w:ascii="Times New Roman" w:hAnsi="Times New Roman" w:cs="Times New Roman"/>
          <w:sz w:val="24"/>
          <w:szCs w:val="24"/>
        </w:rPr>
        <w:t xml:space="preserve">sıra karşılaştırılabilir </w:t>
      </w:r>
      <w:r>
        <w:rPr>
          <w:rFonts w:ascii="Times New Roman" w:hAnsi="Times New Roman" w:cs="Times New Roman"/>
          <w:sz w:val="24"/>
          <w:szCs w:val="24"/>
        </w:rPr>
        <w:t xml:space="preserve">bir </w:t>
      </w:r>
      <w:r w:rsidRPr="002C7935">
        <w:rPr>
          <w:rFonts w:ascii="Times New Roman" w:hAnsi="Times New Roman" w:cs="Times New Roman"/>
          <w:sz w:val="24"/>
          <w:szCs w:val="24"/>
        </w:rPr>
        <w:t>güve</w:t>
      </w:r>
      <w:r w:rsidRPr="001F447B">
        <w:rPr>
          <w:rFonts w:ascii="Times New Roman" w:hAnsi="Times New Roman" w:cs="Times New Roman"/>
          <w:sz w:val="24"/>
          <w:szCs w:val="24"/>
        </w:rPr>
        <w:t>n</w:t>
      </w:r>
      <w:r w:rsidRPr="002C7935">
        <w:rPr>
          <w:rFonts w:ascii="Times New Roman" w:hAnsi="Times New Roman" w:cs="Times New Roman"/>
          <w:sz w:val="24"/>
          <w:szCs w:val="24"/>
        </w:rPr>
        <w:t xml:space="preserve">lilik </w:t>
      </w:r>
      <w:proofErr w:type="gramStart"/>
      <w:r w:rsidRPr="002C7935">
        <w:rPr>
          <w:rFonts w:ascii="Times New Roman" w:hAnsi="Times New Roman" w:cs="Times New Roman"/>
          <w:sz w:val="24"/>
          <w:szCs w:val="24"/>
        </w:rPr>
        <w:t>profilinin</w:t>
      </w:r>
      <w:proofErr w:type="gramEnd"/>
      <w:r w:rsidRPr="002C7935">
        <w:rPr>
          <w:rFonts w:ascii="Times New Roman" w:hAnsi="Times New Roman" w:cs="Times New Roman"/>
          <w:sz w:val="24"/>
          <w:szCs w:val="24"/>
        </w:rPr>
        <w:t xml:space="preserve"> gösterilme ölçütlerini de içermelidir.</w:t>
      </w:r>
    </w:p>
    <w:p w14:paraId="5AC75541" w14:textId="77777777" w:rsidR="00336B38" w:rsidRPr="002C7935" w:rsidRDefault="00336B38" w:rsidP="00336B38">
      <w:pPr>
        <w:ind w:right="-567"/>
        <w:jc w:val="both"/>
        <w:rPr>
          <w:rFonts w:ascii="Times New Roman" w:hAnsi="Times New Roman" w:cs="Times New Roman"/>
          <w:sz w:val="24"/>
          <w:szCs w:val="24"/>
        </w:rPr>
      </w:pPr>
    </w:p>
    <w:p w14:paraId="2C1E7E60" w14:textId="77777777" w:rsidR="00336B38" w:rsidRPr="002C7935" w:rsidRDefault="00336B38" w:rsidP="00336B38">
      <w:pPr>
        <w:ind w:right="-567"/>
        <w:jc w:val="both"/>
        <w:rPr>
          <w:rFonts w:ascii="Times New Roman" w:hAnsi="Times New Roman" w:cs="Times New Roman"/>
          <w:b/>
          <w:sz w:val="24"/>
          <w:szCs w:val="24"/>
        </w:rPr>
      </w:pPr>
      <w:r w:rsidRPr="002C7935">
        <w:rPr>
          <w:rFonts w:ascii="Times New Roman" w:hAnsi="Times New Roman" w:cs="Times New Roman"/>
          <w:b/>
          <w:sz w:val="24"/>
          <w:szCs w:val="24"/>
        </w:rPr>
        <w:t>Etkililik Çalışmaları</w:t>
      </w:r>
    </w:p>
    <w:p w14:paraId="28E2E199"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b/>
          <w:sz w:val="24"/>
          <w:szCs w:val="24"/>
        </w:rPr>
        <w:t>MADDE 2</w:t>
      </w:r>
      <w:r>
        <w:rPr>
          <w:rFonts w:ascii="Times New Roman" w:hAnsi="Times New Roman" w:cs="Times New Roman"/>
          <w:b/>
          <w:sz w:val="24"/>
          <w:szCs w:val="24"/>
        </w:rPr>
        <w:t>1 -</w:t>
      </w:r>
      <w:r w:rsidRPr="002C7935">
        <w:rPr>
          <w:rFonts w:ascii="Times New Roman" w:hAnsi="Times New Roman" w:cs="Times New Roman"/>
          <w:sz w:val="24"/>
          <w:szCs w:val="24"/>
        </w:rPr>
        <w:t xml:space="preserve"> (1) Etkilili</w:t>
      </w:r>
      <w:r>
        <w:rPr>
          <w:rFonts w:ascii="Times New Roman" w:hAnsi="Times New Roman" w:cs="Times New Roman"/>
          <w:sz w:val="24"/>
          <w:szCs w:val="24"/>
        </w:rPr>
        <w:t>k için vekil belirteçlerin</w:t>
      </w:r>
      <w:r w:rsidRPr="002C7935">
        <w:rPr>
          <w:rFonts w:ascii="Times New Roman" w:hAnsi="Times New Roman" w:cs="Times New Roman"/>
          <w:sz w:val="24"/>
          <w:szCs w:val="24"/>
        </w:rPr>
        <w:t xml:space="preserve"> bulunmaması halinde</w:t>
      </w:r>
      <w:r>
        <w:rPr>
          <w:rFonts w:ascii="Times New Roman" w:hAnsi="Times New Roman" w:cs="Times New Roman"/>
          <w:sz w:val="24"/>
          <w:szCs w:val="24"/>
        </w:rPr>
        <w:t>,</w:t>
      </w:r>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w:t>
      </w:r>
      <w:proofErr w:type="gramStart"/>
      <w:r w:rsidRPr="002C7935">
        <w:rPr>
          <w:rFonts w:ascii="Times New Roman" w:hAnsi="Times New Roman" w:cs="Times New Roman"/>
          <w:sz w:val="24"/>
          <w:szCs w:val="24"/>
        </w:rPr>
        <w:t>ürünle  referans</w:t>
      </w:r>
      <w:proofErr w:type="gram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ürünü etkililik sonlanım noktalarıyla birlikte klinik olarak karşılaştıracak, tercihen çift kör </w:t>
      </w:r>
      <w:proofErr w:type="spellStart"/>
      <w:r w:rsidRPr="002C7935">
        <w:rPr>
          <w:rFonts w:ascii="Times New Roman" w:hAnsi="Times New Roman" w:cs="Times New Roman"/>
          <w:sz w:val="24"/>
          <w:szCs w:val="24"/>
        </w:rPr>
        <w:t>randomize</w:t>
      </w:r>
      <w:proofErr w:type="spellEnd"/>
      <w:r w:rsidRPr="002C7935">
        <w:rPr>
          <w:rFonts w:ascii="Times New Roman" w:hAnsi="Times New Roman" w:cs="Times New Roman"/>
          <w:sz w:val="24"/>
          <w:szCs w:val="24"/>
        </w:rPr>
        <w:t xml:space="preserve"> paralel gruplu, klinik çalı</w:t>
      </w:r>
      <w:r w:rsidRPr="001F447B">
        <w:rPr>
          <w:rFonts w:ascii="Times New Roman" w:hAnsi="Times New Roman" w:cs="Times New Roman"/>
          <w:sz w:val="24"/>
          <w:szCs w:val="24"/>
        </w:rPr>
        <w:t xml:space="preserve">şmaların yapılması gereklidir. </w:t>
      </w:r>
      <w:r w:rsidRPr="00A85E98">
        <w:rPr>
          <w:rFonts w:ascii="Times New Roman" w:hAnsi="Times New Roman" w:cs="Times New Roman"/>
          <w:sz w:val="24"/>
          <w:szCs w:val="24"/>
        </w:rPr>
        <w:t>Başvuru sahibi tarafından yapılması planlanan klinik çalışmaya ait çalışma tasarımı Kuruma görüş için sunulabilir.</w:t>
      </w:r>
      <w:r w:rsidRPr="00C01A07">
        <w:rPr>
          <w:rFonts w:ascii="Times New Roman" w:hAnsi="Times New Roman" w:cs="Times New Roman"/>
          <w:sz w:val="24"/>
          <w:szCs w:val="24"/>
        </w:rPr>
        <w:t xml:space="preserve"> </w:t>
      </w:r>
      <w:r w:rsidRPr="002C7935">
        <w:rPr>
          <w:rFonts w:ascii="Times New Roman" w:hAnsi="Times New Roman" w:cs="Times New Roman"/>
          <w:sz w:val="24"/>
          <w:szCs w:val="24"/>
        </w:rPr>
        <w:t xml:space="preserve"> </w:t>
      </w:r>
    </w:p>
    <w:p w14:paraId="22F57151"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(2) Çalışma </w:t>
      </w:r>
      <w:proofErr w:type="gramStart"/>
      <w:r w:rsidRPr="002C7935">
        <w:rPr>
          <w:rFonts w:ascii="Times New Roman" w:hAnsi="Times New Roman" w:cs="Times New Roman"/>
          <w:sz w:val="24"/>
          <w:szCs w:val="24"/>
        </w:rPr>
        <w:t>popülasyonu</w:t>
      </w:r>
      <w:proofErr w:type="gramEnd"/>
      <w:r w:rsidRPr="002C7935">
        <w:rPr>
          <w:rFonts w:ascii="Times New Roman" w:hAnsi="Times New Roman" w:cs="Times New Roman"/>
          <w:sz w:val="24"/>
          <w:szCs w:val="24"/>
        </w:rPr>
        <w:t xml:space="preserve"> genellikle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w:t>
      </w:r>
      <w:r w:rsidRPr="002C7935">
        <w:rPr>
          <w:rFonts w:ascii="Times New Roman" w:hAnsi="Times New Roman" w:cs="Times New Roman"/>
          <w:sz w:val="24"/>
          <w:szCs w:val="24"/>
        </w:rPr>
        <w:t xml:space="preserve"> ve 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 arasındaki olası farklılıkları ortaya koyacak hassasiyette </w:t>
      </w:r>
      <w:r>
        <w:rPr>
          <w:rFonts w:ascii="Times New Roman" w:hAnsi="Times New Roman" w:cs="Times New Roman"/>
          <w:sz w:val="24"/>
          <w:szCs w:val="24"/>
        </w:rPr>
        <w:t xml:space="preserve">olmalı </w:t>
      </w:r>
      <w:r w:rsidRPr="002C7935">
        <w:rPr>
          <w:rFonts w:ascii="Times New Roman" w:hAnsi="Times New Roman" w:cs="Times New Roman"/>
          <w:sz w:val="24"/>
          <w:szCs w:val="24"/>
        </w:rPr>
        <w:t xml:space="preserve">ve referans ürünün onaylı </w:t>
      </w:r>
      <w:proofErr w:type="spellStart"/>
      <w:r w:rsidRPr="002C7935">
        <w:rPr>
          <w:rFonts w:ascii="Times New Roman" w:hAnsi="Times New Roman" w:cs="Times New Roman"/>
          <w:sz w:val="24"/>
          <w:szCs w:val="24"/>
        </w:rPr>
        <w:t>terapötik</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endikasyonlarını</w:t>
      </w:r>
      <w:proofErr w:type="spellEnd"/>
      <w:r w:rsidRPr="002C7935">
        <w:rPr>
          <w:rFonts w:ascii="Times New Roman" w:hAnsi="Times New Roman" w:cs="Times New Roman"/>
          <w:sz w:val="24"/>
          <w:szCs w:val="24"/>
        </w:rPr>
        <w:t xml:space="preserve"> yansıt</w:t>
      </w:r>
      <w:r>
        <w:rPr>
          <w:rFonts w:ascii="Times New Roman" w:hAnsi="Times New Roman" w:cs="Times New Roman"/>
          <w:sz w:val="24"/>
          <w:szCs w:val="24"/>
        </w:rPr>
        <w:t>malıdır</w:t>
      </w:r>
      <w:r w:rsidRPr="002C7935">
        <w:rPr>
          <w:rFonts w:ascii="Times New Roman" w:hAnsi="Times New Roman" w:cs="Times New Roman"/>
          <w:sz w:val="24"/>
          <w:szCs w:val="24"/>
        </w:rPr>
        <w:t xml:space="preserve">. Zaman zaman klinik uygulamadaki değişiklikler, (örnek olarak, bir </w:t>
      </w:r>
      <w:proofErr w:type="gramStart"/>
      <w:r w:rsidRPr="002C7935">
        <w:rPr>
          <w:rFonts w:ascii="Times New Roman" w:hAnsi="Times New Roman" w:cs="Times New Roman"/>
          <w:sz w:val="24"/>
          <w:szCs w:val="24"/>
        </w:rPr>
        <w:t>kombinasyon</w:t>
      </w:r>
      <w:proofErr w:type="gramEnd"/>
      <w:r w:rsidRPr="002C7935">
        <w:rPr>
          <w:rFonts w:ascii="Times New Roman" w:hAnsi="Times New Roman" w:cs="Times New Roman"/>
          <w:sz w:val="24"/>
          <w:szCs w:val="24"/>
        </w:rPr>
        <w:t xml:space="preserve"> tedavisinde birlikte kullanılan ilaçlar, tedavi basamağı veya hastalığın şiddeti) onaylanmış </w:t>
      </w:r>
      <w:proofErr w:type="spellStart"/>
      <w:r w:rsidRPr="002C7935">
        <w:rPr>
          <w:rFonts w:ascii="Times New Roman" w:hAnsi="Times New Roman" w:cs="Times New Roman"/>
          <w:sz w:val="24"/>
          <w:szCs w:val="24"/>
        </w:rPr>
        <w:t>terapötik</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endikasyondan</w:t>
      </w:r>
      <w:proofErr w:type="spellEnd"/>
      <w:r w:rsidRPr="002C7935">
        <w:rPr>
          <w:rFonts w:ascii="Times New Roman" w:hAnsi="Times New Roman" w:cs="Times New Roman"/>
          <w:sz w:val="24"/>
          <w:szCs w:val="24"/>
        </w:rPr>
        <w:t xml:space="preserve"> sapmaları gerektirebilir. </w:t>
      </w:r>
      <w:r>
        <w:rPr>
          <w:rFonts w:ascii="Times New Roman" w:hAnsi="Times New Roman" w:cs="Times New Roman"/>
          <w:sz w:val="24"/>
          <w:szCs w:val="24"/>
        </w:rPr>
        <w:t>Bu tür s</w:t>
      </w:r>
      <w:r w:rsidRPr="002C7935">
        <w:rPr>
          <w:rFonts w:ascii="Times New Roman" w:hAnsi="Times New Roman" w:cs="Times New Roman"/>
          <w:sz w:val="24"/>
          <w:szCs w:val="24"/>
        </w:rPr>
        <w:t>apmalar</w:t>
      </w:r>
      <w:r>
        <w:rPr>
          <w:rFonts w:ascii="Times New Roman" w:hAnsi="Times New Roman" w:cs="Times New Roman"/>
          <w:sz w:val="24"/>
          <w:szCs w:val="24"/>
        </w:rPr>
        <w:t xml:space="preserve">ın </w:t>
      </w:r>
      <w:r w:rsidRPr="002C7935">
        <w:rPr>
          <w:rFonts w:ascii="Times New Roman" w:hAnsi="Times New Roman" w:cs="Times New Roman"/>
          <w:sz w:val="24"/>
          <w:szCs w:val="24"/>
        </w:rPr>
        <w:t>gerekçelendirilerek</w:t>
      </w:r>
      <w:r w:rsidRPr="001F447B">
        <w:rPr>
          <w:rFonts w:ascii="Times New Roman" w:hAnsi="Times New Roman" w:cs="Times New Roman"/>
          <w:sz w:val="24"/>
          <w:szCs w:val="24"/>
        </w:rPr>
        <w:t xml:space="preserve"> sunul</w:t>
      </w:r>
      <w:r>
        <w:rPr>
          <w:rFonts w:ascii="Times New Roman" w:hAnsi="Times New Roman" w:cs="Times New Roman"/>
          <w:sz w:val="24"/>
          <w:szCs w:val="24"/>
        </w:rPr>
        <w:t>ması gerekmektedir</w:t>
      </w:r>
      <w:r w:rsidRPr="001F447B">
        <w:rPr>
          <w:rFonts w:ascii="Times New Roman" w:hAnsi="Times New Roman" w:cs="Times New Roman"/>
          <w:sz w:val="24"/>
          <w:szCs w:val="24"/>
        </w:rPr>
        <w:t>.</w:t>
      </w:r>
    </w:p>
    <w:p w14:paraId="3D08F5E3" w14:textId="77777777" w:rsidR="00336B38" w:rsidRDefault="00336B38" w:rsidP="00336B38">
      <w:pPr>
        <w:pStyle w:val="ListeParagraf"/>
        <w:numPr>
          <w:ilvl w:val="0"/>
          <w:numId w:val="19"/>
        </w:numPr>
        <w:ind w:left="851" w:right="-567" w:hanging="284"/>
        <w:jc w:val="both"/>
        <w:rPr>
          <w:rFonts w:ascii="Times New Roman" w:hAnsi="Times New Roman" w:cs="Times New Roman"/>
          <w:b/>
          <w:sz w:val="24"/>
          <w:szCs w:val="24"/>
        </w:rPr>
      </w:pPr>
      <w:r w:rsidRPr="008C24BD">
        <w:rPr>
          <w:rFonts w:ascii="Times New Roman" w:hAnsi="Times New Roman" w:cs="Times New Roman"/>
          <w:b/>
          <w:sz w:val="24"/>
          <w:szCs w:val="24"/>
        </w:rPr>
        <w:t>Çalışma Tasarımları</w:t>
      </w:r>
    </w:p>
    <w:p w14:paraId="5BEA91AC" w14:textId="77777777" w:rsidR="00FD0D8C" w:rsidRPr="008C24BD" w:rsidRDefault="00FD0D8C" w:rsidP="00FD0D8C">
      <w:pPr>
        <w:pStyle w:val="ListeParagraf"/>
        <w:ind w:left="851" w:right="-567"/>
        <w:jc w:val="both"/>
        <w:rPr>
          <w:rFonts w:ascii="Times New Roman" w:hAnsi="Times New Roman" w:cs="Times New Roman"/>
          <w:b/>
          <w:sz w:val="24"/>
          <w:szCs w:val="24"/>
        </w:rPr>
      </w:pPr>
    </w:p>
    <w:p w14:paraId="1BCDC78E" w14:textId="77777777" w:rsidR="00336B38" w:rsidRPr="008C24BD" w:rsidRDefault="00336B38" w:rsidP="00336B38">
      <w:pPr>
        <w:pStyle w:val="ListeParagraf"/>
        <w:numPr>
          <w:ilvl w:val="0"/>
          <w:numId w:val="24"/>
        </w:numPr>
        <w:ind w:right="-567"/>
        <w:jc w:val="both"/>
        <w:rPr>
          <w:rFonts w:ascii="Times New Roman" w:hAnsi="Times New Roman" w:cs="Times New Roman"/>
          <w:sz w:val="24"/>
          <w:szCs w:val="24"/>
        </w:rPr>
      </w:pPr>
      <w:r w:rsidRPr="008C24BD">
        <w:rPr>
          <w:rFonts w:ascii="Times New Roman" w:hAnsi="Times New Roman" w:cs="Times New Roman"/>
          <w:sz w:val="24"/>
          <w:szCs w:val="24"/>
        </w:rPr>
        <w:t xml:space="preserve">Genel olarak, bir eşdeğerlik tasarımı kullanılmalıdır. Güçlü bilimsel </w:t>
      </w:r>
      <w:proofErr w:type="gramStart"/>
      <w:r w:rsidRPr="008C24BD">
        <w:rPr>
          <w:rFonts w:ascii="Times New Roman" w:hAnsi="Times New Roman" w:cs="Times New Roman"/>
          <w:sz w:val="24"/>
          <w:szCs w:val="24"/>
        </w:rPr>
        <w:t>gerekçeler   gösterilmesi</w:t>
      </w:r>
      <w:proofErr w:type="gramEnd"/>
      <w:r w:rsidRPr="008C24BD">
        <w:rPr>
          <w:rFonts w:ascii="Times New Roman" w:hAnsi="Times New Roman" w:cs="Times New Roman"/>
          <w:sz w:val="24"/>
          <w:szCs w:val="24"/>
        </w:rPr>
        <w:t xml:space="preserve">  durumunda </w:t>
      </w:r>
      <w:r>
        <w:rPr>
          <w:rFonts w:ascii="Times New Roman" w:hAnsi="Times New Roman" w:cs="Times New Roman"/>
          <w:sz w:val="24"/>
          <w:szCs w:val="24"/>
        </w:rPr>
        <w:t xml:space="preserve">referans ürünün özellikleri de </w:t>
      </w:r>
      <w:r w:rsidRPr="008C24BD">
        <w:rPr>
          <w:rFonts w:ascii="Times New Roman" w:hAnsi="Times New Roman" w:cs="Times New Roman"/>
          <w:sz w:val="24"/>
          <w:szCs w:val="24"/>
        </w:rPr>
        <w:t>göz  önünde  bulundurularak</w:t>
      </w:r>
      <w:r>
        <w:rPr>
          <w:rFonts w:ascii="Times New Roman" w:hAnsi="Times New Roman" w:cs="Times New Roman"/>
          <w:sz w:val="24"/>
          <w:szCs w:val="24"/>
        </w:rPr>
        <w:t xml:space="preserve"> </w:t>
      </w:r>
      <w:r w:rsidRPr="008C24BD">
        <w:rPr>
          <w:rFonts w:ascii="Times New Roman" w:hAnsi="Times New Roman" w:cs="Times New Roman"/>
          <w:sz w:val="24"/>
          <w:szCs w:val="24"/>
        </w:rPr>
        <w:t>(</w:t>
      </w:r>
      <w:r>
        <w:rPr>
          <w:rFonts w:ascii="Times New Roman" w:hAnsi="Times New Roman" w:cs="Times New Roman"/>
          <w:sz w:val="24"/>
          <w:szCs w:val="24"/>
        </w:rPr>
        <w:t xml:space="preserve">örneğin; </w:t>
      </w:r>
      <w:r w:rsidRPr="008C24BD">
        <w:rPr>
          <w:rFonts w:ascii="Times New Roman" w:hAnsi="Times New Roman" w:cs="Times New Roman"/>
          <w:sz w:val="24"/>
          <w:szCs w:val="24"/>
        </w:rPr>
        <w:t>referans tıbbi  ürünün  güvenlilik  profili/</w:t>
      </w:r>
      <w:proofErr w:type="spellStart"/>
      <w:r w:rsidRPr="008C24BD">
        <w:rPr>
          <w:rFonts w:ascii="Times New Roman" w:hAnsi="Times New Roman" w:cs="Times New Roman"/>
          <w:sz w:val="24"/>
          <w:szCs w:val="24"/>
        </w:rPr>
        <w:t>tolere</w:t>
      </w:r>
      <w:proofErr w:type="spellEnd"/>
      <w:r w:rsidRPr="008C24BD">
        <w:rPr>
          <w:rFonts w:ascii="Times New Roman" w:hAnsi="Times New Roman" w:cs="Times New Roman"/>
          <w:sz w:val="24"/>
          <w:szCs w:val="24"/>
        </w:rPr>
        <w:t xml:space="preserve"> edilebilirliği  doz  aralığı   ve  doz yanıt  ilişkisi) daha az etkili olmayacağını gösteren çalışma (</w:t>
      </w:r>
      <w:proofErr w:type="spellStart"/>
      <w:r w:rsidRPr="008C24BD">
        <w:rPr>
          <w:rFonts w:ascii="Times New Roman" w:hAnsi="Times New Roman" w:cs="Times New Roman"/>
          <w:sz w:val="24"/>
          <w:szCs w:val="24"/>
        </w:rPr>
        <w:t>non­inferiorite</w:t>
      </w:r>
      <w:proofErr w:type="spellEnd"/>
      <w:r w:rsidRPr="008C24BD">
        <w:rPr>
          <w:rFonts w:ascii="Times New Roman" w:hAnsi="Times New Roman" w:cs="Times New Roman"/>
          <w:sz w:val="24"/>
          <w:szCs w:val="24"/>
        </w:rPr>
        <w:t xml:space="preserve">) tasarımı kabul  edilebilir.  </w:t>
      </w:r>
    </w:p>
    <w:p w14:paraId="406D4E01" w14:textId="77777777" w:rsidR="00336B38" w:rsidRPr="008C24BD" w:rsidRDefault="00336B38" w:rsidP="00336B38">
      <w:pPr>
        <w:pStyle w:val="ListeParagraf"/>
        <w:numPr>
          <w:ilvl w:val="0"/>
          <w:numId w:val="24"/>
        </w:numPr>
        <w:ind w:right="-567"/>
        <w:jc w:val="both"/>
        <w:rPr>
          <w:rFonts w:ascii="Times New Roman" w:hAnsi="Times New Roman" w:cs="Times New Roman"/>
          <w:sz w:val="24"/>
          <w:szCs w:val="24"/>
        </w:rPr>
      </w:pPr>
      <w:r w:rsidRPr="008C24BD">
        <w:rPr>
          <w:rFonts w:ascii="Times New Roman" w:hAnsi="Times New Roman" w:cs="Times New Roman"/>
          <w:sz w:val="24"/>
          <w:szCs w:val="24"/>
        </w:rPr>
        <w:t xml:space="preserve">Daha az etkili olmayacağını gösteren çalışma tasarımı, </w:t>
      </w:r>
      <w:r>
        <w:rPr>
          <w:rFonts w:ascii="Times New Roman" w:hAnsi="Times New Roman" w:cs="Times New Roman"/>
          <w:sz w:val="24"/>
          <w:szCs w:val="24"/>
        </w:rPr>
        <w:t xml:space="preserve">sadece etkililikte anlamlı ve klinik olarak geçerli bir artma olasılığının bilimsel ve </w:t>
      </w:r>
      <w:proofErr w:type="spellStart"/>
      <w:r>
        <w:rPr>
          <w:rFonts w:ascii="Times New Roman" w:hAnsi="Times New Roman" w:cs="Times New Roman"/>
          <w:sz w:val="24"/>
          <w:szCs w:val="24"/>
        </w:rPr>
        <w:t>mekanistik</w:t>
      </w:r>
      <w:proofErr w:type="spellEnd"/>
      <w:r>
        <w:rPr>
          <w:rFonts w:ascii="Times New Roman" w:hAnsi="Times New Roman" w:cs="Times New Roman"/>
          <w:sz w:val="24"/>
          <w:szCs w:val="24"/>
        </w:rPr>
        <w:t xml:space="preserve"> bir temelde dışlanabileceği durumlarda </w:t>
      </w:r>
      <w:r w:rsidRPr="008C24BD">
        <w:rPr>
          <w:rFonts w:ascii="Times New Roman" w:hAnsi="Times New Roman" w:cs="Times New Roman"/>
          <w:sz w:val="24"/>
          <w:szCs w:val="24"/>
        </w:rPr>
        <w:t>kabul edilebilir. Bununla birlikte, eşdeğerlik çalışmalarında olduğu gibi, yöntem hassasiyeti göz önünde bulundurulmalıdır.</w:t>
      </w:r>
    </w:p>
    <w:p w14:paraId="3C5657C7" w14:textId="77777777" w:rsidR="00336B38" w:rsidRPr="008C24BD" w:rsidRDefault="00336B38" w:rsidP="00336B38">
      <w:pPr>
        <w:pStyle w:val="ListeParagraf"/>
        <w:numPr>
          <w:ilvl w:val="0"/>
          <w:numId w:val="24"/>
        </w:numPr>
        <w:ind w:right="-567"/>
        <w:jc w:val="both"/>
        <w:rPr>
          <w:rFonts w:ascii="Times New Roman" w:hAnsi="Times New Roman" w:cs="Times New Roman"/>
          <w:sz w:val="24"/>
          <w:szCs w:val="24"/>
        </w:rPr>
      </w:pPr>
      <w:r w:rsidRPr="008C24BD">
        <w:rPr>
          <w:rFonts w:ascii="Times New Roman" w:hAnsi="Times New Roman" w:cs="Times New Roman"/>
          <w:sz w:val="24"/>
          <w:szCs w:val="24"/>
        </w:rPr>
        <w:t>Daha az etkili olmayacağını gösteren çalışma tasarımı</w:t>
      </w:r>
      <w:r>
        <w:rPr>
          <w:rFonts w:ascii="Times New Roman" w:hAnsi="Times New Roman" w:cs="Times New Roman"/>
          <w:sz w:val="24"/>
          <w:szCs w:val="24"/>
        </w:rPr>
        <w:t xml:space="preserve">nın kullanılması düşünülüyor ise </w:t>
      </w:r>
      <w:r w:rsidRPr="008C24BD">
        <w:rPr>
          <w:rFonts w:ascii="Times New Roman" w:hAnsi="Times New Roman" w:cs="Times New Roman"/>
          <w:sz w:val="24"/>
          <w:szCs w:val="24"/>
        </w:rPr>
        <w:t>Kurum ile müzakere edilmesi tavsiye edilir.</w:t>
      </w:r>
    </w:p>
    <w:p w14:paraId="577237D8" w14:textId="77777777" w:rsidR="00336B38" w:rsidRPr="008C24BD" w:rsidRDefault="00336B38" w:rsidP="00336B38">
      <w:pPr>
        <w:ind w:left="567" w:right="-567"/>
        <w:jc w:val="both"/>
        <w:rPr>
          <w:rFonts w:ascii="Times New Roman" w:hAnsi="Times New Roman" w:cs="Times New Roman"/>
          <w:b/>
          <w:sz w:val="24"/>
          <w:szCs w:val="24"/>
        </w:rPr>
      </w:pPr>
      <w:r w:rsidRPr="008C24BD">
        <w:rPr>
          <w:rFonts w:ascii="Times New Roman" w:hAnsi="Times New Roman" w:cs="Times New Roman"/>
          <w:b/>
          <w:sz w:val="24"/>
          <w:szCs w:val="24"/>
        </w:rPr>
        <w:t>b) Etkililik Sonlanım Noktaları</w:t>
      </w:r>
    </w:p>
    <w:p w14:paraId="53D54F68" w14:textId="77777777" w:rsidR="00336B38" w:rsidRPr="002C7935" w:rsidRDefault="00336B38" w:rsidP="00336B38">
      <w:pPr>
        <w:ind w:right="-567"/>
        <w:jc w:val="both"/>
        <w:rPr>
          <w:rFonts w:ascii="Times New Roman" w:hAnsi="Times New Roman" w:cs="Times New Roman"/>
          <w:sz w:val="24"/>
          <w:szCs w:val="24"/>
        </w:rPr>
      </w:pPr>
    </w:p>
    <w:p w14:paraId="39541EE0" w14:textId="77777777" w:rsidR="00336B38" w:rsidRPr="008C24BD" w:rsidRDefault="00336B38" w:rsidP="00336B38">
      <w:pPr>
        <w:pStyle w:val="ListeParagraf"/>
        <w:numPr>
          <w:ilvl w:val="0"/>
          <w:numId w:val="25"/>
        </w:numPr>
        <w:ind w:right="-567"/>
        <w:jc w:val="both"/>
        <w:rPr>
          <w:rFonts w:ascii="Times New Roman" w:hAnsi="Times New Roman" w:cs="Times New Roman"/>
          <w:sz w:val="24"/>
          <w:szCs w:val="24"/>
        </w:rPr>
      </w:pPr>
      <w:r w:rsidRPr="008C24BD">
        <w:rPr>
          <w:rFonts w:ascii="Times New Roman" w:hAnsi="Times New Roman" w:cs="Times New Roman"/>
          <w:sz w:val="24"/>
          <w:szCs w:val="24"/>
        </w:rPr>
        <w:t xml:space="preserve">Etkililik çalışmalarının amacı, </w:t>
      </w:r>
      <w:r>
        <w:rPr>
          <w:rFonts w:ascii="Times New Roman" w:hAnsi="Times New Roman" w:cs="Times New Roman"/>
          <w:sz w:val="24"/>
          <w:szCs w:val="24"/>
        </w:rPr>
        <w:t xml:space="preserve">referans tıbbi ürünün zaten bilinen </w:t>
      </w:r>
      <w:r w:rsidRPr="008C24BD">
        <w:rPr>
          <w:rFonts w:ascii="Times New Roman" w:hAnsi="Times New Roman" w:cs="Times New Roman"/>
          <w:sz w:val="24"/>
          <w:szCs w:val="24"/>
        </w:rPr>
        <w:t>etkililiği</w:t>
      </w:r>
      <w:r>
        <w:rPr>
          <w:rFonts w:ascii="Times New Roman" w:hAnsi="Times New Roman" w:cs="Times New Roman"/>
          <w:sz w:val="24"/>
          <w:szCs w:val="24"/>
        </w:rPr>
        <w:t>ni göstermekten ziyade</w:t>
      </w:r>
      <w:r w:rsidRPr="008C24BD">
        <w:rPr>
          <w:rFonts w:ascii="Times New Roman" w:hAnsi="Times New Roman" w:cs="Times New Roman"/>
          <w:sz w:val="24"/>
          <w:szCs w:val="24"/>
        </w:rPr>
        <w:t xml:space="preserve">, </w:t>
      </w:r>
      <w:proofErr w:type="spellStart"/>
      <w:r w:rsidRPr="008C24BD">
        <w:rPr>
          <w:rFonts w:ascii="Times New Roman" w:hAnsi="Times New Roman" w:cs="Times New Roman"/>
          <w:sz w:val="24"/>
          <w:szCs w:val="24"/>
        </w:rPr>
        <w:t>biyobenzer</w:t>
      </w:r>
      <w:proofErr w:type="spellEnd"/>
      <w:r w:rsidRPr="008C24BD">
        <w:rPr>
          <w:rFonts w:ascii="Times New Roman" w:hAnsi="Times New Roman" w:cs="Times New Roman"/>
          <w:sz w:val="24"/>
          <w:szCs w:val="24"/>
        </w:rPr>
        <w:t xml:space="preserve"> </w:t>
      </w:r>
      <w:r>
        <w:rPr>
          <w:rFonts w:ascii="Times New Roman" w:hAnsi="Times New Roman" w:cs="Times New Roman"/>
          <w:sz w:val="24"/>
          <w:szCs w:val="24"/>
        </w:rPr>
        <w:t xml:space="preserve">tıbbi ürün </w:t>
      </w:r>
      <w:r w:rsidRPr="008C24BD">
        <w:rPr>
          <w:rFonts w:ascii="Times New Roman" w:hAnsi="Times New Roman" w:cs="Times New Roman"/>
          <w:sz w:val="24"/>
          <w:szCs w:val="24"/>
        </w:rPr>
        <w:t>ve referans tıbbi ürünün karşılaştırılabilir klinik performansını doğrulamak olmalıdır.</w:t>
      </w:r>
    </w:p>
    <w:p w14:paraId="6B3145E6" w14:textId="77777777" w:rsidR="00336B38" w:rsidRPr="008C24BD" w:rsidRDefault="00336B38" w:rsidP="00336B38">
      <w:pPr>
        <w:pStyle w:val="ListeParagraf"/>
        <w:numPr>
          <w:ilvl w:val="0"/>
          <w:numId w:val="25"/>
        </w:numPr>
        <w:ind w:right="-567"/>
        <w:jc w:val="both"/>
        <w:rPr>
          <w:rFonts w:ascii="Times New Roman" w:hAnsi="Times New Roman" w:cs="Times New Roman"/>
          <w:sz w:val="24"/>
          <w:szCs w:val="24"/>
        </w:rPr>
      </w:pPr>
      <w:r w:rsidRPr="008C24BD">
        <w:rPr>
          <w:rFonts w:ascii="Times New Roman" w:hAnsi="Times New Roman" w:cs="Times New Roman"/>
          <w:sz w:val="24"/>
          <w:szCs w:val="24"/>
        </w:rPr>
        <w:t xml:space="preserve">Güncel yaygın kullanımda olan kılavuzlar referans olarak alınabilir. Bu kılavuzların olmaması durumunda </w:t>
      </w:r>
      <w:proofErr w:type="spellStart"/>
      <w:r w:rsidRPr="008C24BD">
        <w:rPr>
          <w:rFonts w:ascii="Times New Roman" w:hAnsi="Times New Roman" w:cs="Times New Roman"/>
          <w:sz w:val="24"/>
          <w:szCs w:val="24"/>
        </w:rPr>
        <w:t>karşılaştırılabilirlik</w:t>
      </w:r>
      <w:proofErr w:type="spellEnd"/>
      <w:r w:rsidRPr="008C24BD">
        <w:rPr>
          <w:rFonts w:ascii="Times New Roman" w:hAnsi="Times New Roman" w:cs="Times New Roman"/>
          <w:sz w:val="24"/>
          <w:szCs w:val="24"/>
        </w:rPr>
        <w:t xml:space="preserve">, etkililik çalışmalarında yeterli duyarlılıkta klinik modellerde ve çalışma koşullarında gösterilmelidir. Başvuru sahibi, seçilen modelin etkililik ve güvenlilik ile ilgili potansiyel farklılıkları tespit etmek için uygun ve duyarlı olduğunu gerekçelendirmelidir. Hastalığa özgü yayınlanan kılavuzlarda önerilen sonlanım noktalarından sapmalar varsa, bilimsel olarak gerekçelendirilmelidir.  </w:t>
      </w:r>
    </w:p>
    <w:p w14:paraId="5C53702E" w14:textId="413BE3A6" w:rsidR="00336B38" w:rsidRPr="008C24BD" w:rsidRDefault="00336B38" w:rsidP="00336B38">
      <w:pPr>
        <w:pStyle w:val="ListeParagraf"/>
        <w:numPr>
          <w:ilvl w:val="0"/>
          <w:numId w:val="25"/>
        </w:numPr>
        <w:ind w:right="-567"/>
        <w:jc w:val="both"/>
        <w:rPr>
          <w:rFonts w:ascii="Times New Roman" w:hAnsi="Times New Roman" w:cs="Times New Roman"/>
          <w:sz w:val="24"/>
          <w:szCs w:val="24"/>
        </w:rPr>
      </w:pPr>
      <w:proofErr w:type="spellStart"/>
      <w:r w:rsidRPr="008C24BD">
        <w:rPr>
          <w:rFonts w:ascii="Times New Roman" w:hAnsi="Times New Roman" w:cs="Times New Roman"/>
          <w:sz w:val="24"/>
          <w:szCs w:val="24"/>
        </w:rPr>
        <w:t>Biyobenzer</w:t>
      </w:r>
      <w:proofErr w:type="spellEnd"/>
      <w:r w:rsidRPr="008C24BD">
        <w:rPr>
          <w:rFonts w:ascii="Times New Roman" w:hAnsi="Times New Roman" w:cs="Times New Roman"/>
          <w:sz w:val="24"/>
          <w:szCs w:val="24"/>
        </w:rPr>
        <w:t xml:space="preserve"> </w:t>
      </w:r>
      <w:r>
        <w:rPr>
          <w:rFonts w:ascii="Times New Roman" w:hAnsi="Times New Roman" w:cs="Times New Roman"/>
          <w:sz w:val="24"/>
          <w:szCs w:val="24"/>
        </w:rPr>
        <w:t xml:space="preserve">tıbbi ürün </w:t>
      </w:r>
      <w:r w:rsidRPr="008C24BD">
        <w:rPr>
          <w:rFonts w:ascii="Times New Roman" w:hAnsi="Times New Roman" w:cs="Times New Roman"/>
          <w:sz w:val="24"/>
          <w:szCs w:val="24"/>
        </w:rPr>
        <w:t xml:space="preserve">ve referans tıbbi ürünlerin etkililikleri arasında tespit edilen farklılıkların, klinik açıdan önemi tartışılmalıdır. Genel olarak, klinik verilerin amacı, daha önceki adımlarda gözlemlenen </w:t>
      </w:r>
      <w:r w:rsidR="00FD0D8C">
        <w:rPr>
          <w:rFonts w:ascii="Times New Roman" w:hAnsi="Times New Roman" w:cs="Times New Roman"/>
          <w:sz w:val="24"/>
          <w:szCs w:val="24"/>
        </w:rPr>
        <w:t>küçük farklılıkları ele almak,</w:t>
      </w:r>
      <w:r w:rsidRPr="008C24BD">
        <w:rPr>
          <w:rFonts w:ascii="Times New Roman" w:hAnsi="Times New Roman" w:cs="Times New Roman"/>
          <w:sz w:val="24"/>
          <w:szCs w:val="24"/>
        </w:rPr>
        <w:t xml:space="preserve"> </w:t>
      </w:r>
      <w:proofErr w:type="spellStart"/>
      <w:r w:rsidRPr="008C24BD">
        <w:rPr>
          <w:rFonts w:ascii="Times New Roman" w:hAnsi="Times New Roman" w:cs="Times New Roman"/>
          <w:sz w:val="24"/>
          <w:szCs w:val="24"/>
        </w:rPr>
        <w:t>biyobenzer</w:t>
      </w:r>
      <w:proofErr w:type="spellEnd"/>
      <w:r w:rsidRPr="008C24BD">
        <w:rPr>
          <w:rFonts w:ascii="Times New Roman" w:hAnsi="Times New Roman" w:cs="Times New Roman"/>
          <w:sz w:val="24"/>
          <w:szCs w:val="24"/>
        </w:rPr>
        <w:t xml:space="preserve"> ve referans </w:t>
      </w:r>
      <w:r w:rsidR="00FD0D8C">
        <w:rPr>
          <w:rFonts w:ascii="Times New Roman" w:hAnsi="Times New Roman" w:cs="Times New Roman"/>
          <w:sz w:val="24"/>
          <w:szCs w:val="24"/>
        </w:rPr>
        <w:t xml:space="preserve">tıbbi </w:t>
      </w:r>
      <w:r w:rsidRPr="008C24BD">
        <w:rPr>
          <w:rFonts w:ascii="Times New Roman" w:hAnsi="Times New Roman" w:cs="Times New Roman"/>
          <w:sz w:val="24"/>
          <w:szCs w:val="24"/>
        </w:rPr>
        <w:t>ürünün karşılaştırılabilir klinik performansını doğrulamaktır. Klinik veriler, kalite özelliklerindeki önemli farklılıkları gerekçelendirmek için kullanılamaz.</w:t>
      </w:r>
    </w:p>
    <w:p w14:paraId="080376A5" w14:textId="77777777" w:rsidR="00336B38" w:rsidRPr="008C24BD" w:rsidRDefault="00336B38" w:rsidP="00336B38">
      <w:pPr>
        <w:pStyle w:val="ListeParagraf"/>
        <w:numPr>
          <w:ilvl w:val="0"/>
          <w:numId w:val="25"/>
        </w:numPr>
        <w:ind w:right="-567"/>
        <w:jc w:val="both"/>
        <w:rPr>
          <w:rFonts w:ascii="Times New Roman" w:hAnsi="Times New Roman" w:cs="Times New Roman"/>
          <w:sz w:val="24"/>
          <w:szCs w:val="24"/>
        </w:rPr>
      </w:pPr>
      <w:r w:rsidRPr="008C24BD">
        <w:rPr>
          <w:rFonts w:ascii="Times New Roman" w:hAnsi="Times New Roman" w:cs="Times New Roman"/>
          <w:sz w:val="24"/>
          <w:szCs w:val="24"/>
        </w:rPr>
        <w:t xml:space="preserve">Yeni etkin madde içeren ürünler için kılavuzlar tarafından önerilen birincil klinik </w:t>
      </w:r>
      <w:proofErr w:type="spellStart"/>
      <w:r w:rsidRPr="008C24BD">
        <w:rPr>
          <w:rFonts w:ascii="Times New Roman" w:hAnsi="Times New Roman" w:cs="Times New Roman"/>
          <w:sz w:val="24"/>
          <w:szCs w:val="24"/>
        </w:rPr>
        <w:t>sonlanım</w:t>
      </w:r>
      <w:r>
        <w:rPr>
          <w:rFonts w:ascii="Times New Roman" w:hAnsi="Times New Roman" w:cs="Times New Roman"/>
          <w:sz w:val="24"/>
          <w:szCs w:val="24"/>
        </w:rPr>
        <w:t>lar</w:t>
      </w:r>
      <w:proofErr w:type="spellEnd"/>
      <w:r w:rsidRPr="008C24BD">
        <w:rPr>
          <w:rFonts w:ascii="Times New Roman" w:hAnsi="Times New Roman" w:cs="Times New Roman"/>
          <w:sz w:val="24"/>
          <w:szCs w:val="24"/>
        </w:rPr>
        <w:t xml:space="preserve"> ile klinik olarak anlamlı farklılıkları tespit etmek için daha duyarlı olan diğer klinik / farmakodinamik </w:t>
      </w:r>
      <w:proofErr w:type="spellStart"/>
      <w:r w:rsidRPr="008C24BD">
        <w:rPr>
          <w:rFonts w:ascii="Times New Roman" w:hAnsi="Times New Roman" w:cs="Times New Roman"/>
          <w:sz w:val="24"/>
          <w:szCs w:val="24"/>
        </w:rPr>
        <w:t>sonlanımlar</w:t>
      </w:r>
      <w:proofErr w:type="spellEnd"/>
      <w:r w:rsidRPr="008C24BD">
        <w:rPr>
          <w:rFonts w:ascii="Times New Roman" w:hAnsi="Times New Roman" w:cs="Times New Roman"/>
          <w:sz w:val="24"/>
          <w:szCs w:val="24"/>
        </w:rPr>
        <w:t xml:space="preserve"> arasındaki </w:t>
      </w:r>
      <w:proofErr w:type="gramStart"/>
      <w:r w:rsidRPr="008C24BD">
        <w:rPr>
          <w:rFonts w:ascii="Times New Roman" w:hAnsi="Times New Roman" w:cs="Times New Roman"/>
          <w:sz w:val="24"/>
          <w:szCs w:val="24"/>
        </w:rPr>
        <w:t>korelasyon</w:t>
      </w:r>
      <w:proofErr w:type="gramEnd"/>
      <w:r w:rsidRPr="008C24BD">
        <w:rPr>
          <w:rFonts w:ascii="Times New Roman" w:hAnsi="Times New Roman" w:cs="Times New Roman"/>
          <w:sz w:val="24"/>
          <w:szCs w:val="24"/>
        </w:rPr>
        <w:t xml:space="preserve">, daha önceki klinik çalışmalarda referans </w:t>
      </w:r>
      <w:r>
        <w:rPr>
          <w:rFonts w:ascii="Times New Roman" w:hAnsi="Times New Roman" w:cs="Times New Roman"/>
          <w:sz w:val="24"/>
          <w:szCs w:val="24"/>
        </w:rPr>
        <w:t xml:space="preserve">tıbbi </w:t>
      </w:r>
      <w:r w:rsidRPr="008C24BD">
        <w:rPr>
          <w:rFonts w:ascii="Times New Roman" w:hAnsi="Times New Roman" w:cs="Times New Roman"/>
          <w:sz w:val="24"/>
          <w:szCs w:val="24"/>
        </w:rPr>
        <w:t xml:space="preserve">üründe gösterilmiş olabilir. Bu durumda, referans </w:t>
      </w:r>
      <w:r>
        <w:rPr>
          <w:rFonts w:ascii="Times New Roman" w:hAnsi="Times New Roman" w:cs="Times New Roman"/>
          <w:sz w:val="24"/>
          <w:szCs w:val="24"/>
        </w:rPr>
        <w:t xml:space="preserve">tıbbi </w:t>
      </w:r>
      <w:r w:rsidRPr="008C24BD">
        <w:rPr>
          <w:rFonts w:ascii="Times New Roman" w:hAnsi="Times New Roman" w:cs="Times New Roman"/>
          <w:sz w:val="24"/>
          <w:szCs w:val="24"/>
        </w:rPr>
        <w:t xml:space="preserve">ürünün ruhsat başvurusunda kullanılmış olanlarla aynı birincil etkililik </w:t>
      </w:r>
      <w:proofErr w:type="spellStart"/>
      <w:r w:rsidRPr="008C24BD">
        <w:rPr>
          <w:rFonts w:ascii="Times New Roman" w:hAnsi="Times New Roman" w:cs="Times New Roman"/>
          <w:sz w:val="24"/>
          <w:szCs w:val="24"/>
        </w:rPr>
        <w:t>sonlanımlarının</w:t>
      </w:r>
      <w:proofErr w:type="spellEnd"/>
      <w:r w:rsidRPr="008C24BD">
        <w:rPr>
          <w:rFonts w:ascii="Times New Roman" w:hAnsi="Times New Roman" w:cs="Times New Roman"/>
          <w:sz w:val="24"/>
          <w:szCs w:val="24"/>
        </w:rPr>
        <w:t xml:space="preserve"> kullanılma zorunluluğu yoktur. Bununla beraber, karşılaştırmaları kolaylaştırmak için, referans tıbbi ürün ile yapılmış klinik çalışmalardaki bazı ortak sonlanım noktalarının (örneğin ikincil sonlanım noktaları) </w:t>
      </w:r>
      <w:proofErr w:type="gramStart"/>
      <w:r w:rsidRPr="008C24BD">
        <w:rPr>
          <w:rFonts w:ascii="Times New Roman" w:hAnsi="Times New Roman" w:cs="Times New Roman"/>
          <w:sz w:val="24"/>
          <w:szCs w:val="24"/>
        </w:rPr>
        <w:t>dahil</w:t>
      </w:r>
      <w:proofErr w:type="gramEnd"/>
      <w:r w:rsidRPr="008C24BD">
        <w:rPr>
          <w:rFonts w:ascii="Times New Roman" w:hAnsi="Times New Roman" w:cs="Times New Roman"/>
          <w:sz w:val="24"/>
          <w:szCs w:val="24"/>
        </w:rPr>
        <w:t xml:space="preserve"> edilmesi tavsiye edilebilir.</w:t>
      </w:r>
    </w:p>
    <w:p w14:paraId="07EB5AEE" w14:textId="77777777" w:rsidR="00336B38" w:rsidRPr="008C24BD" w:rsidRDefault="00336B38" w:rsidP="00336B38">
      <w:pPr>
        <w:pStyle w:val="ListeParagraf"/>
        <w:numPr>
          <w:ilvl w:val="0"/>
          <w:numId w:val="25"/>
        </w:numPr>
        <w:ind w:right="-567"/>
        <w:jc w:val="both"/>
        <w:rPr>
          <w:rFonts w:ascii="Times New Roman" w:hAnsi="Times New Roman" w:cs="Times New Roman"/>
          <w:sz w:val="24"/>
          <w:szCs w:val="24"/>
        </w:rPr>
      </w:pPr>
      <w:proofErr w:type="spellStart"/>
      <w:r w:rsidRPr="008C24BD">
        <w:rPr>
          <w:rFonts w:ascii="Times New Roman" w:hAnsi="Times New Roman" w:cs="Times New Roman"/>
          <w:sz w:val="24"/>
          <w:szCs w:val="24"/>
        </w:rPr>
        <w:t>Karşılaştırılabilirlik</w:t>
      </w:r>
      <w:proofErr w:type="spellEnd"/>
      <w:r w:rsidRPr="008C24BD">
        <w:rPr>
          <w:rFonts w:ascii="Times New Roman" w:hAnsi="Times New Roman" w:cs="Times New Roman"/>
          <w:sz w:val="24"/>
          <w:szCs w:val="24"/>
        </w:rPr>
        <w:t xml:space="preserve"> sınırları önceden belirlenmelidir ve referans tıbbi ürünün verileri kullanılarak istatistiksel ve klinik temellere dayalı olarak gerekçelendirilmelidir. Tüm karşılaştırmalı klinik çalışma tasarımlarında olduğu gibi analiz duyarlılığı da dikkate alınmalıdır.</w:t>
      </w:r>
    </w:p>
    <w:p w14:paraId="6B0C1EC5" w14:textId="77777777" w:rsidR="00336B38" w:rsidRPr="002C7935" w:rsidRDefault="00336B38" w:rsidP="00336B38">
      <w:pPr>
        <w:ind w:right="-567"/>
        <w:jc w:val="both"/>
        <w:rPr>
          <w:rFonts w:ascii="Times New Roman" w:hAnsi="Times New Roman" w:cs="Times New Roman"/>
          <w:sz w:val="24"/>
          <w:szCs w:val="24"/>
        </w:rPr>
      </w:pPr>
    </w:p>
    <w:p w14:paraId="4B056241" w14:textId="77777777" w:rsidR="00336B38" w:rsidRPr="002C7935" w:rsidRDefault="00336B38" w:rsidP="00336B38">
      <w:pPr>
        <w:ind w:right="-567"/>
        <w:jc w:val="both"/>
        <w:rPr>
          <w:rFonts w:ascii="Times New Roman" w:hAnsi="Times New Roman" w:cs="Times New Roman"/>
          <w:b/>
          <w:sz w:val="24"/>
          <w:szCs w:val="24"/>
        </w:rPr>
      </w:pPr>
      <w:r w:rsidRPr="002C7935">
        <w:rPr>
          <w:rFonts w:ascii="Times New Roman" w:hAnsi="Times New Roman" w:cs="Times New Roman"/>
          <w:b/>
          <w:sz w:val="24"/>
          <w:szCs w:val="24"/>
        </w:rPr>
        <w:t>Klinik Güvenlilik</w:t>
      </w:r>
    </w:p>
    <w:p w14:paraId="464F33E5" w14:textId="77777777" w:rsidR="006F6C39" w:rsidRPr="002C7935" w:rsidRDefault="006F6C39" w:rsidP="006F6C39">
      <w:pPr>
        <w:ind w:right="-567"/>
        <w:jc w:val="both"/>
        <w:rPr>
          <w:rFonts w:ascii="Times New Roman" w:hAnsi="Times New Roman" w:cs="Times New Roman"/>
          <w:sz w:val="24"/>
          <w:szCs w:val="24"/>
        </w:rPr>
      </w:pPr>
      <w:r w:rsidRPr="002C7935">
        <w:rPr>
          <w:rFonts w:ascii="Times New Roman" w:hAnsi="Times New Roman" w:cs="Times New Roman"/>
          <w:b/>
          <w:sz w:val="24"/>
          <w:szCs w:val="24"/>
        </w:rPr>
        <w:t>MADDE 2</w:t>
      </w:r>
      <w:r>
        <w:rPr>
          <w:rFonts w:ascii="Times New Roman" w:hAnsi="Times New Roman" w:cs="Times New Roman"/>
          <w:b/>
          <w:sz w:val="24"/>
          <w:szCs w:val="24"/>
        </w:rPr>
        <w:t>2 -</w:t>
      </w:r>
      <w:r w:rsidRPr="002C7935">
        <w:rPr>
          <w:rFonts w:ascii="Times New Roman" w:hAnsi="Times New Roman" w:cs="Times New Roman"/>
          <w:sz w:val="24"/>
          <w:szCs w:val="24"/>
        </w:rPr>
        <w:t xml:space="preserve"> (1) Klinik güvenlilik, </w:t>
      </w:r>
      <w:r>
        <w:rPr>
          <w:rFonts w:ascii="Times New Roman" w:hAnsi="Times New Roman" w:cs="Times New Roman"/>
          <w:sz w:val="24"/>
          <w:szCs w:val="24"/>
        </w:rPr>
        <w:t xml:space="preserve">tüm </w:t>
      </w:r>
      <w:r w:rsidRPr="002C7935">
        <w:rPr>
          <w:rFonts w:ascii="Times New Roman" w:hAnsi="Times New Roman" w:cs="Times New Roman"/>
          <w:sz w:val="24"/>
          <w:szCs w:val="24"/>
        </w:rPr>
        <w:t xml:space="preserve">klinik geliştirme programı boyunca önem taşımaktadır ve başlangıçtaki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ve/veya farmakodinamik değerlendirmeler sırasında ve ayrıca </w:t>
      </w:r>
      <w:proofErr w:type="spellStart"/>
      <w:r w:rsidRPr="002C7935">
        <w:rPr>
          <w:rFonts w:ascii="Times New Roman" w:hAnsi="Times New Roman" w:cs="Times New Roman"/>
          <w:sz w:val="24"/>
          <w:szCs w:val="24"/>
        </w:rPr>
        <w:t>pivotal</w:t>
      </w:r>
      <w:proofErr w:type="spellEnd"/>
      <w:r w:rsidRPr="002C7935">
        <w:rPr>
          <w:rFonts w:ascii="Times New Roman" w:hAnsi="Times New Roman" w:cs="Times New Roman"/>
          <w:sz w:val="24"/>
          <w:szCs w:val="24"/>
        </w:rPr>
        <w:t xml:space="preserve"> klinik etkililik çalışmasının bir parçası olarak elde edilmektedir. </w:t>
      </w:r>
    </w:p>
    <w:p w14:paraId="6786AF2E" w14:textId="77777777" w:rsidR="006F6C39" w:rsidRPr="002C7935" w:rsidRDefault="006F6C39" w:rsidP="006F6C39">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(2) Karşılaştırmalı güvenlilik verileri, verilerin miktarı referans </w:t>
      </w:r>
      <w:r w:rsidRPr="001F447B">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 için bilinen güvenlilik hususlarının türüne ve ağırlığına bağlı olacak şekilde ruhsatlandırma öncesinde toplanmalıdır. Ruhsatlandırma öncesi güvenlilik takibinin süresi gerekçelendirilmelidir. </w:t>
      </w:r>
    </w:p>
    <w:p w14:paraId="34FB737E" w14:textId="77777777" w:rsidR="006F6C39" w:rsidRPr="002C7935" w:rsidRDefault="006F6C39" w:rsidP="006F6C39">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(3)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 ve referans </w:t>
      </w:r>
      <w:r w:rsidRPr="001F447B">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 arasında </w:t>
      </w:r>
      <w:proofErr w:type="spellStart"/>
      <w:r w:rsidRPr="002C7935">
        <w:rPr>
          <w:rFonts w:ascii="Times New Roman" w:hAnsi="Times New Roman" w:cs="Times New Roman"/>
          <w:sz w:val="24"/>
          <w:szCs w:val="24"/>
        </w:rPr>
        <w:t>advers</w:t>
      </w:r>
      <w:proofErr w:type="spellEnd"/>
      <w:r w:rsidRPr="002C7935">
        <w:rPr>
          <w:rFonts w:ascii="Times New Roman" w:hAnsi="Times New Roman" w:cs="Times New Roman"/>
          <w:sz w:val="24"/>
          <w:szCs w:val="24"/>
        </w:rPr>
        <w:t xml:space="preserve"> reaksiyonların, özellikle de referans ürünün </w:t>
      </w:r>
      <w:proofErr w:type="spellStart"/>
      <w:r w:rsidRPr="002C7935">
        <w:rPr>
          <w:rFonts w:ascii="Times New Roman" w:hAnsi="Times New Roman" w:cs="Times New Roman"/>
          <w:sz w:val="24"/>
          <w:szCs w:val="24"/>
        </w:rPr>
        <w:t>KÜB’nde</w:t>
      </w:r>
      <w:proofErr w:type="spellEnd"/>
      <w:r w:rsidRPr="002C7935">
        <w:rPr>
          <w:rFonts w:ascii="Times New Roman" w:hAnsi="Times New Roman" w:cs="Times New Roman"/>
          <w:sz w:val="24"/>
          <w:szCs w:val="24"/>
        </w:rPr>
        <w:t xml:space="preserve"> tanımlanan </w:t>
      </w:r>
      <w:proofErr w:type="spellStart"/>
      <w:r w:rsidRPr="002C7935">
        <w:rPr>
          <w:rFonts w:ascii="Times New Roman" w:hAnsi="Times New Roman" w:cs="Times New Roman"/>
          <w:sz w:val="24"/>
          <w:szCs w:val="24"/>
        </w:rPr>
        <w:t>advers</w:t>
      </w:r>
      <w:proofErr w:type="spellEnd"/>
      <w:r w:rsidRPr="002C7935">
        <w:rPr>
          <w:rFonts w:ascii="Times New Roman" w:hAnsi="Times New Roman" w:cs="Times New Roman"/>
          <w:sz w:val="24"/>
          <w:szCs w:val="24"/>
        </w:rPr>
        <w:t xml:space="preserve"> reaksiyonların türü, şiddeti ve sıklığını karşılaştırmak için özen gösterilmelidir. </w:t>
      </w:r>
    </w:p>
    <w:p w14:paraId="2D8A8550" w14:textId="77777777" w:rsidR="006F6C39" w:rsidRPr="002C7935" w:rsidRDefault="006F6C39" w:rsidP="006F6C39">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(4) Başvuru sahibi, başvuru dosyasında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ürün </w:t>
      </w:r>
      <w:r w:rsidRPr="002C7935">
        <w:rPr>
          <w:rFonts w:ascii="Times New Roman" w:hAnsi="Times New Roman" w:cs="Times New Roman"/>
          <w:sz w:val="24"/>
          <w:szCs w:val="24"/>
        </w:rPr>
        <w:t xml:space="preserve">için öngörülen </w:t>
      </w:r>
      <w:r>
        <w:rPr>
          <w:rFonts w:ascii="Times New Roman" w:hAnsi="Times New Roman" w:cs="Times New Roman"/>
          <w:sz w:val="24"/>
          <w:szCs w:val="24"/>
        </w:rPr>
        <w:t>özgül</w:t>
      </w:r>
      <w:r w:rsidRPr="002C7935">
        <w:rPr>
          <w:rFonts w:ascii="Times New Roman" w:hAnsi="Times New Roman" w:cs="Times New Roman"/>
          <w:sz w:val="24"/>
          <w:szCs w:val="24"/>
        </w:rPr>
        <w:t xml:space="preserve"> risklerin bir değerlendirmesini sunmalıdır. Bunlar, özellikle 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ürününkinden farklı bir üretim sürecinden kaynaklanabilen, özellikle de </w:t>
      </w:r>
      <w:proofErr w:type="spellStart"/>
      <w:r w:rsidRPr="002C7935">
        <w:rPr>
          <w:rFonts w:ascii="Times New Roman" w:hAnsi="Times New Roman" w:cs="Times New Roman"/>
          <w:sz w:val="24"/>
          <w:szCs w:val="24"/>
        </w:rPr>
        <w:t>infüzyonla</w:t>
      </w:r>
      <w:proofErr w:type="spellEnd"/>
      <w:r w:rsidRPr="002C7935">
        <w:rPr>
          <w:rFonts w:ascii="Times New Roman" w:hAnsi="Times New Roman" w:cs="Times New Roman"/>
          <w:sz w:val="24"/>
          <w:szCs w:val="24"/>
        </w:rPr>
        <w:t xml:space="preserve"> ilişkili reaksiyonlar ve </w:t>
      </w:r>
      <w:proofErr w:type="spellStart"/>
      <w:r w:rsidRPr="002C7935">
        <w:rPr>
          <w:rFonts w:ascii="Times New Roman" w:hAnsi="Times New Roman" w:cs="Times New Roman"/>
          <w:sz w:val="24"/>
          <w:szCs w:val="24"/>
        </w:rPr>
        <w:t>immünojenisite</w:t>
      </w:r>
      <w:proofErr w:type="spellEnd"/>
      <w:r w:rsidRPr="002C7935">
        <w:rPr>
          <w:rFonts w:ascii="Times New Roman" w:hAnsi="Times New Roman" w:cs="Times New Roman"/>
          <w:sz w:val="24"/>
          <w:szCs w:val="24"/>
        </w:rPr>
        <w:t xml:space="preserve"> ile ilgili riskler olmak üzere, muhtemel güvenlilik kaygılarının açıklamasını içerir. </w:t>
      </w:r>
    </w:p>
    <w:p w14:paraId="36290E0D" w14:textId="77777777" w:rsidR="006F6C39" w:rsidRPr="006F6C39" w:rsidRDefault="006F6C39" w:rsidP="006F6C39">
      <w:pPr>
        <w:ind w:right="-567"/>
        <w:jc w:val="both"/>
        <w:rPr>
          <w:rFonts w:ascii="Times New Roman" w:hAnsi="Times New Roman" w:cs="Times New Roman"/>
          <w:sz w:val="24"/>
          <w:szCs w:val="24"/>
        </w:rPr>
      </w:pPr>
      <w:r w:rsidRPr="000B10A0">
        <w:rPr>
          <w:rFonts w:ascii="Times New Roman" w:hAnsi="Times New Roman" w:cs="Times New Roman"/>
          <w:sz w:val="24"/>
          <w:szCs w:val="24"/>
        </w:rPr>
        <w:lastRenderedPageBreak/>
        <w:t>(</w:t>
      </w:r>
      <w:r>
        <w:rPr>
          <w:rFonts w:ascii="Times New Roman" w:hAnsi="Times New Roman" w:cs="Times New Roman"/>
          <w:sz w:val="24"/>
          <w:szCs w:val="24"/>
        </w:rPr>
        <w:t>5</w:t>
      </w:r>
      <w:r w:rsidRPr="000B10A0">
        <w:rPr>
          <w:rFonts w:ascii="Times New Roman" w:hAnsi="Times New Roman" w:cs="Times New Roman"/>
          <w:sz w:val="24"/>
          <w:szCs w:val="24"/>
        </w:rPr>
        <w:t xml:space="preserve">) Bir </w:t>
      </w:r>
      <w:proofErr w:type="spellStart"/>
      <w:r w:rsidRPr="000B10A0">
        <w:rPr>
          <w:rFonts w:ascii="Times New Roman" w:hAnsi="Times New Roman" w:cs="Times New Roman"/>
          <w:sz w:val="24"/>
          <w:szCs w:val="24"/>
        </w:rPr>
        <w:t>biyobenzer</w:t>
      </w:r>
      <w:proofErr w:type="spellEnd"/>
      <w:r w:rsidRPr="000B10A0">
        <w:rPr>
          <w:rFonts w:ascii="Times New Roman" w:hAnsi="Times New Roman" w:cs="Times New Roman"/>
          <w:sz w:val="24"/>
          <w:szCs w:val="24"/>
        </w:rPr>
        <w:t xml:space="preserve"> tıbbi ürünün </w:t>
      </w:r>
      <w:proofErr w:type="spellStart"/>
      <w:r w:rsidRPr="000B10A0">
        <w:rPr>
          <w:rFonts w:ascii="Times New Roman" w:hAnsi="Times New Roman" w:cs="Times New Roman"/>
          <w:sz w:val="24"/>
          <w:szCs w:val="24"/>
        </w:rPr>
        <w:t>immünojenisite</w:t>
      </w:r>
      <w:proofErr w:type="spellEnd"/>
      <w:r w:rsidRPr="000B10A0">
        <w:rPr>
          <w:rFonts w:ascii="Times New Roman" w:hAnsi="Times New Roman" w:cs="Times New Roman"/>
          <w:sz w:val="24"/>
          <w:szCs w:val="24"/>
        </w:rPr>
        <w:t xml:space="preserve"> </w:t>
      </w:r>
      <w:r w:rsidRPr="006F6C39">
        <w:rPr>
          <w:rFonts w:ascii="Times New Roman" w:hAnsi="Times New Roman" w:cs="Times New Roman"/>
          <w:sz w:val="24"/>
          <w:szCs w:val="24"/>
        </w:rPr>
        <w:t xml:space="preserve">potansiyeli referans tıbbi ürün ile karşılaştırmalı olarak araştırılmalıdır. Bu yaklaşımdan sapma gerekçelendirilemediği takdirde, ilgili güncel kılavuzlarda belirlenmiş ilkeler takip edilmelidir. </w:t>
      </w:r>
      <w:proofErr w:type="spellStart"/>
      <w:r w:rsidRPr="006F6C39">
        <w:rPr>
          <w:rFonts w:ascii="Times New Roman" w:hAnsi="Times New Roman" w:cs="Times New Roman"/>
          <w:sz w:val="24"/>
          <w:szCs w:val="24"/>
        </w:rPr>
        <w:t>İmmünojenisite</w:t>
      </w:r>
      <w:proofErr w:type="spellEnd"/>
      <w:r w:rsidRPr="006F6C39">
        <w:rPr>
          <w:rFonts w:ascii="Times New Roman" w:hAnsi="Times New Roman" w:cs="Times New Roman"/>
          <w:sz w:val="24"/>
          <w:szCs w:val="24"/>
        </w:rPr>
        <w:t xml:space="preserve"> verilerinin türü ve miktarı, referans tıbbi ürün ve ürün sınıfı ile elde edilmiş deneyimlere bağlı olacaktır.</w:t>
      </w:r>
    </w:p>
    <w:p w14:paraId="600CE735" w14:textId="77777777" w:rsidR="006F6C39" w:rsidRPr="000B10A0" w:rsidRDefault="006F6C39" w:rsidP="006F6C39">
      <w:pPr>
        <w:ind w:right="-567"/>
        <w:jc w:val="both"/>
        <w:rPr>
          <w:rFonts w:ascii="Times New Roman" w:hAnsi="Times New Roman" w:cs="Times New Roman"/>
          <w:sz w:val="24"/>
          <w:szCs w:val="24"/>
        </w:rPr>
      </w:pPr>
      <w:r w:rsidRPr="000B10A0">
        <w:rPr>
          <w:rFonts w:ascii="Times New Roman" w:hAnsi="Times New Roman" w:cs="Times New Roman"/>
          <w:sz w:val="24"/>
          <w:szCs w:val="24"/>
        </w:rPr>
        <w:t>(</w:t>
      </w:r>
      <w:r>
        <w:rPr>
          <w:rFonts w:ascii="Times New Roman" w:hAnsi="Times New Roman" w:cs="Times New Roman"/>
          <w:sz w:val="24"/>
          <w:szCs w:val="24"/>
        </w:rPr>
        <w:t>6</w:t>
      </w:r>
      <w:r w:rsidRPr="000B10A0">
        <w:rPr>
          <w:rFonts w:ascii="Times New Roman" w:hAnsi="Times New Roman" w:cs="Times New Roman"/>
          <w:sz w:val="24"/>
          <w:szCs w:val="24"/>
        </w:rPr>
        <w:t xml:space="preserve">) </w:t>
      </w:r>
      <w:proofErr w:type="spellStart"/>
      <w:r w:rsidRPr="006F6C39">
        <w:rPr>
          <w:rFonts w:ascii="Times New Roman" w:hAnsi="Times New Roman" w:cs="Times New Roman"/>
          <w:sz w:val="24"/>
          <w:szCs w:val="24"/>
        </w:rPr>
        <w:t>Biyobenzer</w:t>
      </w:r>
      <w:proofErr w:type="spellEnd"/>
      <w:r w:rsidRPr="006F6C39">
        <w:rPr>
          <w:rFonts w:ascii="Times New Roman" w:hAnsi="Times New Roman" w:cs="Times New Roman"/>
          <w:sz w:val="24"/>
          <w:szCs w:val="24"/>
        </w:rPr>
        <w:t xml:space="preserve"> tıbbi ürün ve/veya referans tıbbi ürünün </w:t>
      </w:r>
      <w:proofErr w:type="spellStart"/>
      <w:r w:rsidRPr="006F6C39">
        <w:rPr>
          <w:rFonts w:ascii="Times New Roman" w:hAnsi="Times New Roman" w:cs="Times New Roman"/>
          <w:sz w:val="24"/>
          <w:szCs w:val="24"/>
        </w:rPr>
        <w:t>immünojenisite</w:t>
      </w:r>
      <w:proofErr w:type="spellEnd"/>
      <w:r w:rsidRPr="006F6C39">
        <w:rPr>
          <w:rFonts w:ascii="Times New Roman" w:hAnsi="Times New Roman" w:cs="Times New Roman"/>
          <w:sz w:val="24"/>
          <w:szCs w:val="24"/>
        </w:rPr>
        <w:t xml:space="preserve"> testleri, güncel standartlara uygun şekilde, aynı analiz formatı ve örnekleme programı kullanılarak </w:t>
      </w:r>
      <w:proofErr w:type="spellStart"/>
      <w:r w:rsidRPr="006F6C39">
        <w:rPr>
          <w:rFonts w:ascii="Times New Roman" w:hAnsi="Times New Roman" w:cs="Times New Roman"/>
          <w:sz w:val="24"/>
          <w:szCs w:val="24"/>
        </w:rPr>
        <w:t>biyobenzer</w:t>
      </w:r>
      <w:proofErr w:type="spellEnd"/>
      <w:r w:rsidRPr="006F6C39">
        <w:rPr>
          <w:rFonts w:ascii="Times New Roman" w:hAnsi="Times New Roman" w:cs="Times New Roman"/>
          <w:sz w:val="24"/>
          <w:szCs w:val="24"/>
        </w:rPr>
        <w:t xml:space="preserve"> </w:t>
      </w:r>
      <w:proofErr w:type="spellStart"/>
      <w:r w:rsidRPr="006F6C39">
        <w:rPr>
          <w:rFonts w:ascii="Times New Roman" w:hAnsi="Times New Roman" w:cs="Times New Roman"/>
          <w:sz w:val="24"/>
          <w:szCs w:val="24"/>
        </w:rPr>
        <w:t>karşılaştırılabilirlik</w:t>
      </w:r>
      <w:proofErr w:type="spellEnd"/>
      <w:r w:rsidRPr="006F6C39">
        <w:rPr>
          <w:rFonts w:ascii="Times New Roman" w:hAnsi="Times New Roman" w:cs="Times New Roman"/>
          <w:sz w:val="24"/>
          <w:szCs w:val="24"/>
        </w:rPr>
        <w:t xml:space="preserve"> çalışmaları </w:t>
      </w:r>
      <w:proofErr w:type="gramStart"/>
      <w:r w:rsidRPr="006F6C39">
        <w:rPr>
          <w:rFonts w:ascii="Times New Roman" w:hAnsi="Times New Roman" w:cs="Times New Roman"/>
          <w:sz w:val="24"/>
          <w:szCs w:val="24"/>
        </w:rPr>
        <w:t>dahilinde</w:t>
      </w:r>
      <w:proofErr w:type="gramEnd"/>
      <w:r w:rsidRPr="006F6C39">
        <w:rPr>
          <w:rFonts w:ascii="Times New Roman" w:hAnsi="Times New Roman" w:cs="Times New Roman"/>
          <w:sz w:val="24"/>
          <w:szCs w:val="24"/>
        </w:rPr>
        <w:t xml:space="preserve"> gerçekleştirilmelidir</w:t>
      </w:r>
      <w:r w:rsidRPr="000B10A0">
        <w:rPr>
          <w:rFonts w:ascii="Times New Roman" w:hAnsi="Times New Roman" w:cs="Times New Roman"/>
          <w:sz w:val="24"/>
          <w:szCs w:val="24"/>
        </w:rPr>
        <w:t xml:space="preserve">. Analitik yöntemler en azından </w:t>
      </w:r>
      <w:proofErr w:type="spellStart"/>
      <w:r w:rsidRPr="000B10A0">
        <w:rPr>
          <w:rFonts w:ascii="Times New Roman" w:hAnsi="Times New Roman" w:cs="Times New Roman"/>
          <w:sz w:val="24"/>
          <w:szCs w:val="24"/>
        </w:rPr>
        <w:t>biyobenzer</w:t>
      </w:r>
      <w:proofErr w:type="spellEnd"/>
      <w:r w:rsidRPr="000B10A0">
        <w:rPr>
          <w:rFonts w:ascii="Times New Roman" w:hAnsi="Times New Roman" w:cs="Times New Roman"/>
          <w:sz w:val="24"/>
          <w:szCs w:val="24"/>
        </w:rPr>
        <w:t xml:space="preserve"> moleküle karşı gelişen tüm antikorları, tercihen hem referans tıbbi ürüne hem de </w:t>
      </w:r>
      <w:proofErr w:type="spellStart"/>
      <w:r w:rsidRPr="000B10A0">
        <w:rPr>
          <w:rFonts w:ascii="Times New Roman" w:hAnsi="Times New Roman" w:cs="Times New Roman"/>
          <w:sz w:val="24"/>
          <w:szCs w:val="24"/>
        </w:rPr>
        <w:t>biyobenzer</w:t>
      </w:r>
      <w:proofErr w:type="spellEnd"/>
      <w:r w:rsidRPr="000B10A0">
        <w:rPr>
          <w:rFonts w:ascii="Times New Roman" w:hAnsi="Times New Roman" w:cs="Times New Roman"/>
          <w:sz w:val="24"/>
          <w:szCs w:val="24"/>
        </w:rPr>
        <w:t xml:space="preserve"> tıbbi ürüne karşı gelişen antikorları tespit edebilmelidir. </w:t>
      </w:r>
    </w:p>
    <w:p w14:paraId="6A0EB7F7" w14:textId="77777777" w:rsidR="006F6C39" w:rsidRPr="000B10A0" w:rsidRDefault="006F6C39" w:rsidP="006F6C39">
      <w:pPr>
        <w:widowControl w:val="0"/>
        <w:autoSpaceDE w:val="0"/>
        <w:autoSpaceDN w:val="0"/>
        <w:adjustRightInd w:val="0"/>
        <w:ind w:right="-573"/>
        <w:jc w:val="both"/>
        <w:rPr>
          <w:rFonts w:ascii="Times New Roman" w:hAnsi="Times New Roman" w:cs="Times New Roman"/>
          <w:sz w:val="24"/>
          <w:szCs w:val="24"/>
        </w:rPr>
      </w:pPr>
      <w:r>
        <w:rPr>
          <w:rFonts w:ascii="Times New Roman" w:hAnsi="Times New Roman" w:cs="Times New Roman"/>
          <w:sz w:val="24"/>
          <w:szCs w:val="24"/>
        </w:rPr>
        <w:t>(7)</w:t>
      </w:r>
      <w:r w:rsidRPr="000B10A0">
        <w:rPr>
          <w:rFonts w:ascii="Times New Roman" w:hAnsi="Times New Roman" w:cs="Times New Roman"/>
          <w:sz w:val="24"/>
          <w:szCs w:val="24"/>
        </w:rPr>
        <w:t xml:space="preserve"> </w:t>
      </w:r>
      <w:proofErr w:type="spellStart"/>
      <w:r w:rsidRPr="000B10A0">
        <w:rPr>
          <w:rFonts w:ascii="Times New Roman" w:hAnsi="Times New Roman" w:cs="Times New Roman"/>
          <w:sz w:val="24"/>
          <w:szCs w:val="24"/>
        </w:rPr>
        <w:t>İmmünojenisiteye</w:t>
      </w:r>
      <w:proofErr w:type="spellEnd"/>
      <w:r w:rsidRPr="000B10A0">
        <w:rPr>
          <w:rFonts w:ascii="Times New Roman" w:hAnsi="Times New Roman" w:cs="Times New Roman"/>
          <w:sz w:val="24"/>
          <w:szCs w:val="24"/>
        </w:rPr>
        <w:t xml:space="preserve"> yönelik karşılaştırmalı çalışmalarda yeterli sayıda hasta, kabul edilebilir bir süre tedavi edilmelidir. Her bir çalışma kolunda (</w:t>
      </w:r>
      <w:proofErr w:type="spellStart"/>
      <w:r w:rsidRPr="000B10A0">
        <w:rPr>
          <w:rFonts w:ascii="Times New Roman" w:hAnsi="Times New Roman" w:cs="Times New Roman"/>
          <w:sz w:val="24"/>
          <w:szCs w:val="24"/>
        </w:rPr>
        <w:t>biyobenzer</w:t>
      </w:r>
      <w:proofErr w:type="spellEnd"/>
      <w:r w:rsidRPr="000B10A0">
        <w:rPr>
          <w:rFonts w:ascii="Times New Roman" w:hAnsi="Times New Roman" w:cs="Times New Roman"/>
          <w:sz w:val="24"/>
          <w:szCs w:val="24"/>
        </w:rPr>
        <w:t xml:space="preserve"> ve referans) ürüne karşı </w:t>
      </w:r>
      <w:r w:rsidRPr="00950B28">
        <w:rPr>
          <w:rFonts w:ascii="Times New Roman" w:hAnsi="Times New Roman" w:cs="Times New Roman"/>
          <w:sz w:val="24"/>
          <w:szCs w:val="24"/>
        </w:rPr>
        <w:t xml:space="preserve">antikor yanıtlarının </w:t>
      </w:r>
      <w:proofErr w:type="spellStart"/>
      <w:r w:rsidRPr="00950B28">
        <w:rPr>
          <w:rFonts w:ascii="Times New Roman" w:hAnsi="Times New Roman" w:cs="Times New Roman"/>
          <w:sz w:val="24"/>
          <w:szCs w:val="24"/>
        </w:rPr>
        <w:t>insidansı</w:t>
      </w:r>
      <w:proofErr w:type="spellEnd"/>
      <w:r w:rsidRPr="00950B28">
        <w:rPr>
          <w:rFonts w:ascii="Times New Roman" w:hAnsi="Times New Roman" w:cs="Times New Roman"/>
          <w:sz w:val="24"/>
          <w:szCs w:val="24"/>
        </w:rPr>
        <w:t xml:space="preserve"> ve şiddeti, bu antikorların gelişme ve sistemik dolaşımda kalma süreci ve antikor gelişiminin güvenlilik, etkililik ve </w:t>
      </w:r>
      <w:proofErr w:type="spellStart"/>
      <w:r w:rsidRPr="00950B28">
        <w:rPr>
          <w:rFonts w:ascii="Times New Roman" w:hAnsi="Times New Roman" w:cs="Times New Roman"/>
          <w:sz w:val="24"/>
          <w:szCs w:val="24"/>
        </w:rPr>
        <w:t>farmakokinetik</w:t>
      </w:r>
      <w:proofErr w:type="spellEnd"/>
      <w:r w:rsidRPr="00950B28">
        <w:rPr>
          <w:rFonts w:ascii="Times New Roman" w:hAnsi="Times New Roman" w:cs="Times New Roman"/>
          <w:sz w:val="24"/>
          <w:szCs w:val="24"/>
        </w:rPr>
        <w:t xml:space="preserve"> üzerine etkilerinin değerlendirilmesi </w:t>
      </w:r>
      <w:r w:rsidRPr="000B10A0">
        <w:rPr>
          <w:rFonts w:ascii="Times New Roman" w:hAnsi="Times New Roman" w:cs="Times New Roman"/>
          <w:sz w:val="24"/>
          <w:szCs w:val="24"/>
        </w:rPr>
        <w:t xml:space="preserve">gerekmektedir. Çalışma popülasyonunun seçiminde hastaların </w:t>
      </w:r>
      <w:proofErr w:type="spellStart"/>
      <w:r w:rsidRPr="000B10A0">
        <w:rPr>
          <w:rFonts w:ascii="Times New Roman" w:hAnsi="Times New Roman" w:cs="Times New Roman"/>
          <w:sz w:val="24"/>
          <w:szCs w:val="24"/>
        </w:rPr>
        <w:t>immün</w:t>
      </w:r>
      <w:proofErr w:type="spellEnd"/>
      <w:r w:rsidRPr="000B10A0">
        <w:rPr>
          <w:rFonts w:ascii="Times New Roman" w:hAnsi="Times New Roman" w:cs="Times New Roman"/>
          <w:sz w:val="24"/>
          <w:szCs w:val="24"/>
        </w:rPr>
        <w:t>-yeterlilik (</w:t>
      </w:r>
      <w:proofErr w:type="spellStart"/>
      <w:r w:rsidRPr="000B10A0">
        <w:rPr>
          <w:rFonts w:ascii="Times New Roman" w:hAnsi="Times New Roman" w:cs="Times New Roman"/>
          <w:sz w:val="24"/>
          <w:szCs w:val="24"/>
        </w:rPr>
        <w:t>immunocompetence</w:t>
      </w:r>
      <w:proofErr w:type="spellEnd"/>
      <w:r w:rsidRPr="000B10A0">
        <w:rPr>
          <w:rFonts w:ascii="Times New Roman" w:hAnsi="Times New Roman" w:cs="Times New Roman"/>
          <w:sz w:val="24"/>
          <w:szCs w:val="24"/>
        </w:rPr>
        <w:t xml:space="preserve">) durumu, daha önce alınmış veya çalışma sırasında alınmakta olan </w:t>
      </w:r>
      <w:proofErr w:type="spellStart"/>
      <w:r w:rsidRPr="000B10A0">
        <w:rPr>
          <w:rFonts w:ascii="Times New Roman" w:hAnsi="Times New Roman" w:cs="Times New Roman"/>
          <w:sz w:val="24"/>
          <w:szCs w:val="24"/>
        </w:rPr>
        <w:t>immünsupresif</w:t>
      </w:r>
      <w:proofErr w:type="spellEnd"/>
      <w:r w:rsidRPr="000B10A0">
        <w:rPr>
          <w:rFonts w:ascii="Times New Roman" w:hAnsi="Times New Roman" w:cs="Times New Roman"/>
          <w:sz w:val="24"/>
          <w:szCs w:val="24"/>
        </w:rPr>
        <w:t xml:space="preserve"> ilaçlar ve referans tıbbi ürünün </w:t>
      </w:r>
      <w:proofErr w:type="spellStart"/>
      <w:r w:rsidRPr="000B10A0">
        <w:rPr>
          <w:rFonts w:ascii="Times New Roman" w:hAnsi="Times New Roman" w:cs="Times New Roman"/>
          <w:sz w:val="24"/>
          <w:szCs w:val="24"/>
        </w:rPr>
        <w:t>immü</w:t>
      </w:r>
      <w:r>
        <w:rPr>
          <w:rFonts w:ascii="Times New Roman" w:hAnsi="Times New Roman" w:cs="Times New Roman"/>
          <w:sz w:val="24"/>
          <w:szCs w:val="24"/>
        </w:rPr>
        <w:t>nojenisitesine</w:t>
      </w:r>
      <w:proofErr w:type="spellEnd"/>
      <w:r>
        <w:rPr>
          <w:rFonts w:ascii="Times New Roman" w:hAnsi="Times New Roman" w:cs="Times New Roman"/>
          <w:sz w:val="24"/>
          <w:szCs w:val="24"/>
        </w:rPr>
        <w:t xml:space="preserve"> ilişkin tarihsel </w:t>
      </w:r>
      <w:proofErr w:type="gramStart"/>
      <w:r w:rsidRPr="000B10A0">
        <w:rPr>
          <w:rFonts w:ascii="Times New Roman" w:hAnsi="Times New Roman" w:cs="Times New Roman"/>
          <w:sz w:val="24"/>
          <w:szCs w:val="24"/>
        </w:rPr>
        <w:t>literatür</w:t>
      </w:r>
      <w:proofErr w:type="gramEnd"/>
      <w:r w:rsidRPr="000B10A0">
        <w:rPr>
          <w:rFonts w:ascii="Times New Roman" w:hAnsi="Times New Roman" w:cs="Times New Roman"/>
          <w:sz w:val="24"/>
          <w:szCs w:val="24"/>
        </w:rPr>
        <w:t xml:space="preserve"> verileri gibi faktörler göz önünde bulundurulmalıdır.</w:t>
      </w:r>
    </w:p>
    <w:p w14:paraId="51B46528" w14:textId="77777777" w:rsidR="006F6C39" w:rsidRPr="000B10A0" w:rsidRDefault="006F6C39" w:rsidP="006F6C39">
      <w:pPr>
        <w:widowControl w:val="0"/>
        <w:autoSpaceDE w:val="0"/>
        <w:autoSpaceDN w:val="0"/>
        <w:adjustRightInd w:val="0"/>
        <w:ind w:right="-573"/>
        <w:jc w:val="both"/>
        <w:rPr>
          <w:rFonts w:ascii="Times New Roman" w:hAnsi="Times New Roman" w:cs="Times New Roman"/>
          <w:sz w:val="24"/>
          <w:szCs w:val="24"/>
        </w:rPr>
      </w:pPr>
      <w:r>
        <w:rPr>
          <w:rFonts w:ascii="Times New Roman" w:hAnsi="Times New Roman" w:cs="Times New Roman"/>
          <w:sz w:val="24"/>
          <w:szCs w:val="24"/>
        </w:rPr>
        <w:t>(8)</w:t>
      </w:r>
      <w:r w:rsidRPr="000B10A0">
        <w:rPr>
          <w:rFonts w:ascii="Times New Roman" w:hAnsi="Times New Roman" w:cs="Times New Roman"/>
          <w:sz w:val="24"/>
          <w:szCs w:val="24"/>
        </w:rPr>
        <w:t xml:space="preserve"> Karşılaştırmalı </w:t>
      </w:r>
      <w:proofErr w:type="spellStart"/>
      <w:r w:rsidRPr="000B10A0">
        <w:rPr>
          <w:rFonts w:ascii="Times New Roman" w:hAnsi="Times New Roman" w:cs="Times New Roman"/>
          <w:sz w:val="24"/>
          <w:szCs w:val="24"/>
        </w:rPr>
        <w:t>immünojenisite</w:t>
      </w:r>
      <w:proofErr w:type="spellEnd"/>
      <w:r w:rsidRPr="000B10A0">
        <w:rPr>
          <w:rFonts w:ascii="Times New Roman" w:hAnsi="Times New Roman" w:cs="Times New Roman"/>
          <w:sz w:val="24"/>
          <w:szCs w:val="24"/>
        </w:rPr>
        <w:t xml:space="preserve"> testleri sıralı bir yaklaşımla gerçekleştirilmeli; </w:t>
      </w:r>
      <w:r w:rsidRPr="00950B28">
        <w:rPr>
          <w:rFonts w:ascii="Times New Roman" w:hAnsi="Times New Roman" w:cs="Times New Roman"/>
          <w:sz w:val="24"/>
          <w:szCs w:val="24"/>
        </w:rPr>
        <w:t xml:space="preserve">tarama testleri, </w:t>
      </w:r>
      <w:proofErr w:type="spellStart"/>
      <w:r w:rsidRPr="00950B28">
        <w:rPr>
          <w:rFonts w:ascii="Times New Roman" w:hAnsi="Times New Roman" w:cs="Times New Roman"/>
          <w:sz w:val="24"/>
          <w:szCs w:val="24"/>
        </w:rPr>
        <w:t>konformatuvar</w:t>
      </w:r>
      <w:proofErr w:type="spellEnd"/>
      <w:r w:rsidRPr="00950B28">
        <w:rPr>
          <w:rFonts w:ascii="Times New Roman" w:hAnsi="Times New Roman" w:cs="Times New Roman"/>
          <w:sz w:val="24"/>
          <w:szCs w:val="24"/>
        </w:rPr>
        <w:t xml:space="preserve"> analizler ve bağlayıcı antikorların </w:t>
      </w:r>
      <w:proofErr w:type="spellStart"/>
      <w:r w:rsidRPr="00950B28">
        <w:rPr>
          <w:rFonts w:ascii="Times New Roman" w:hAnsi="Times New Roman" w:cs="Times New Roman"/>
          <w:sz w:val="24"/>
          <w:szCs w:val="24"/>
        </w:rPr>
        <w:t>nötralizan</w:t>
      </w:r>
      <w:proofErr w:type="spellEnd"/>
      <w:r w:rsidRPr="00950B28">
        <w:rPr>
          <w:rFonts w:ascii="Times New Roman" w:hAnsi="Times New Roman" w:cs="Times New Roman"/>
          <w:sz w:val="24"/>
          <w:szCs w:val="24"/>
        </w:rPr>
        <w:t xml:space="preserve"> olup olmadığını </w:t>
      </w:r>
      <w:r w:rsidRPr="000B10A0">
        <w:rPr>
          <w:rFonts w:ascii="Times New Roman" w:hAnsi="Times New Roman" w:cs="Times New Roman"/>
          <w:sz w:val="24"/>
          <w:szCs w:val="24"/>
        </w:rPr>
        <w:t xml:space="preserve">belirlemek için uygun analizleri içermelidir. Bu testlere paralel olarak, </w:t>
      </w:r>
      <w:proofErr w:type="spellStart"/>
      <w:r w:rsidRPr="000B10A0">
        <w:rPr>
          <w:rFonts w:ascii="Times New Roman" w:hAnsi="Times New Roman" w:cs="Times New Roman"/>
          <w:sz w:val="24"/>
          <w:szCs w:val="24"/>
        </w:rPr>
        <w:t>biyobenzer</w:t>
      </w:r>
      <w:proofErr w:type="spellEnd"/>
      <w:r w:rsidRPr="000B10A0">
        <w:rPr>
          <w:rFonts w:ascii="Times New Roman" w:hAnsi="Times New Roman" w:cs="Times New Roman"/>
          <w:sz w:val="24"/>
          <w:szCs w:val="24"/>
        </w:rPr>
        <w:t xml:space="preserve"> veya referans tıbbi ürünün yakalama (</w:t>
      </w:r>
      <w:proofErr w:type="spellStart"/>
      <w:r w:rsidRPr="000B10A0">
        <w:rPr>
          <w:rFonts w:ascii="Times New Roman" w:hAnsi="Times New Roman" w:cs="Times New Roman"/>
          <w:sz w:val="24"/>
          <w:szCs w:val="24"/>
        </w:rPr>
        <w:t>capture</w:t>
      </w:r>
      <w:proofErr w:type="spellEnd"/>
      <w:r w:rsidRPr="000B10A0">
        <w:rPr>
          <w:rFonts w:ascii="Times New Roman" w:hAnsi="Times New Roman" w:cs="Times New Roman"/>
          <w:sz w:val="24"/>
          <w:szCs w:val="24"/>
        </w:rPr>
        <w:t xml:space="preserve">) ligandı olarak test kapsamına alındığı, bağımsız bağlayıcı antikor analizleri geliştirilmelidir. Her bir </w:t>
      </w:r>
      <w:proofErr w:type="spellStart"/>
      <w:r w:rsidRPr="00950B28">
        <w:rPr>
          <w:rFonts w:ascii="Times New Roman" w:hAnsi="Times New Roman" w:cs="Times New Roman"/>
          <w:sz w:val="24"/>
          <w:szCs w:val="24"/>
        </w:rPr>
        <w:t>assay</w:t>
      </w:r>
      <w:proofErr w:type="spellEnd"/>
      <w:r w:rsidRPr="00950B28">
        <w:rPr>
          <w:rFonts w:ascii="Times New Roman" w:hAnsi="Times New Roman" w:cs="Times New Roman"/>
          <w:sz w:val="24"/>
          <w:szCs w:val="24"/>
        </w:rPr>
        <w:t xml:space="preserve"> valide edilmeli</w:t>
      </w:r>
      <w:r w:rsidRPr="000B10A0">
        <w:rPr>
          <w:rFonts w:ascii="Times New Roman" w:hAnsi="Times New Roman" w:cs="Times New Roman"/>
          <w:sz w:val="24"/>
          <w:szCs w:val="24"/>
        </w:rPr>
        <w:t xml:space="preserve"> ve ürün varlığında duyarlı bir şekilde antikorları belirleyebilme yetenekleri gösterilmelidir. Her iki tedavi kolundan alınacak kan örneklerinde, </w:t>
      </w:r>
      <w:proofErr w:type="spellStart"/>
      <w:r w:rsidRPr="000B10A0">
        <w:rPr>
          <w:rFonts w:ascii="Times New Roman" w:hAnsi="Times New Roman" w:cs="Times New Roman"/>
          <w:sz w:val="24"/>
          <w:szCs w:val="24"/>
        </w:rPr>
        <w:t>biyobenzer</w:t>
      </w:r>
      <w:proofErr w:type="spellEnd"/>
      <w:r w:rsidRPr="000B10A0">
        <w:rPr>
          <w:rFonts w:ascii="Times New Roman" w:hAnsi="Times New Roman" w:cs="Times New Roman"/>
          <w:sz w:val="24"/>
          <w:szCs w:val="24"/>
        </w:rPr>
        <w:t xml:space="preserve"> ve referans ürüne karşı gelişebilecek </w:t>
      </w:r>
      <w:r w:rsidRPr="00950B28">
        <w:rPr>
          <w:rFonts w:ascii="Times New Roman" w:hAnsi="Times New Roman" w:cs="Times New Roman"/>
          <w:sz w:val="24"/>
          <w:szCs w:val="24"/>
        </w:rPr>
        <w:t xml:space="preserve">antikorların çapraz </w:t>
      </w:r>
      <w:proofErr w:type="spellStart"/>
      <w:r w:rsidRPr="00950B28">
        <w:rPr>
          <w:rFonts w:ascii="Times New Roman" w:hAnsi="Times New Roman" w:cs="Times New Roman"/>
          <w:sz w:val="24"/>
          <w:szCs w:val="24"/>
        </w:rPr>
        <w:t>reaktivitesi</w:t>
      </w:r>
      <w:proofErr w:type="spellEnd"/>
      <w:r w:rsidRPr="000B10A0">
        <w:rPr>
          <w:rFonts w:ascii="Times New Roman" w:hAnsi="Times New Roman" w:cs="Times New Roman"/>
          <w:sz w:val="24"/>
          <w:szCs w:val="24"/>
        </w:rPr>
        <w:t xml:space="preserve"> uygun şekilde incelenmelidir. Bu yaklaşımdan sapma yapılması durumunda gerekçelendirilmelidir. Ayrıca </w:t>
      </w:r>
      <w:proofErr w:type="spellStart"/>
      <w:r w:rsidRPr="000B10A0">
        <w:rPr>
          <w:rFonts w:ascii="Times New Roman" w:hAnsi="Times New Roman" w:cs="Times New Roman"/>
          <w:sz w:val="24"/>
          <w:szCs w:val="24"/>
        </w:rPr>
        <w:t>konformatuvar</w:t>
      </w:r>
      <w:proofErr w:type="spellEnd"/>
      <w:r w:rsidRPr="000B10A0">
        <w:rPr>
          <w:rFonts w:ascii="Times New Roman" w:hAnsi="Times New Roman" w:cs="Times New Roman"/>
          <w:sz w:val="24"/>
          <w:szCs w:val="24"/>
        </w:rPr>
        <w:t xml:space="preserve"> bağlanma </w:t>
      </w:r>
      <w:proofErr w:type="spellStart"/>
      <w:r w:rsidRPr="000B10A0">
        <w:rPr>
          <w:rFonts w:ascii="Times New Roman" w:hAnsi="Times New Roman" w:cs="Times New Roman"/>
          <w:sz w:val="24"/>
          <w:szCs w:val="24"/>
        </w:rPr>
        <w:t>assayleri</w:t>
      </w:r>
      <w:proofErr w:type="spellEnd"/>
      <w:r w:rsidRPr="000B10A0">
        <w:rPr>
          <w:rFonts w:ascii="Times New Roman" w:hAnsi="Times New Roman" w:cs="Times New Roman"/>
          <w:sz w:val="24"/>
          <w:szCs w:val="24"/>
        </w:rPr>
        <w:t xml:space="preserve"> ile bağlayıcı antikorları pozitif bulunan hasta örneklerinde bu antikorların ürünü </w:t>
      </w:r>
      <w:proofErr w:type="gramStart"/>
      <w:r w:rsidRPr="00950B28">
        <w:rPr>
          <w:rFonts w:ascii="Times New Roman" w:hAnsi="Times New Roman" w:cs="Times New Roman"/>
          <w:sz w:val="24"/>
          <w:szCs w:val="24"/>
        </w:rPr>
        <w:t>nötralize etme</w:t>
      </w:r>
      <w:proofErr w:type="gramEnd"/>
      <w:r w:rsidRPr="00950B28">
        <w:rPr>
          <w:rFonts w:ascii="Times New Roman" w:hAnsi="Times New Roman" w:cs="Times New Roman"/>
          <w:sz w:val="24"/>
          <w:szCs w:val="24"/>
        </w:rPr>
        <w:t xml:space="preserve"> kapasitesinin </w:t>
      </w:r>
      <w:r w:rsidRPr="000B10A0">
        <w:rPr>
          <w:rFonts w:ascii="Times New Roman" w:hAnsi="Times New Roman" w:cs="Times New Roman"/>
          <w:sz w:val="24"/>
          <w:szCs w:val="24"/>
        </w:rPr>
        <w:t xml:space="preserve">test edilmesi ve bu yapılmıyorsa gerekçelendirilmesi gerekmektedir. Nötralize edici antikor testi için uygun format seçiminde, ürünün etki mekanizması göz önünde bulundurulmalıdır; bunun için etki mekanizmasına bağlı olarak </w:t>
      </w:r>
      <w:proofErr w:type="gramStart"/>
      <w:r w:rsidRPr="000B10A0">
        <w:rPr>
          <w:rFonts w:ascii="Times New Roman" w:hAnsi="Times New Roman" w:cs="Times New Roman"/>
          <w:sz w:val="24"/>
          <w:szCs w:val="24"/>
        </w:rPr>
        <w:t>kompetitif</w:t>
      </w:r>
      <w:proofErr w:type="gramEnd"/>
      <w:r w:rsidRPr="000B10A0">
        <w:rPr>
          <w:rFonts w:ascii="Times New Roman" w:hAnsi="Times New Roman" w:cs="Times New Roman"/>
          <w:sz w:val="24"/>
          <w:szCs w:val="24"/>
        </w:rPr>
        <w:t xml:space="preserve"> </w:t>
      </w:r>
      <w:proofErr w:type="spellStart"/>
      <w:r w:rsidRPr="000B10A0">
        <w:rPr>
          <w:rFonts w:ascii="Times New Roman" w:hAnsi="Times New Roman" w:cs="Times New Roman"/>
          <w:sz w:val="24"/>
          <w:szCs w:val="24"/>
        </w:rPr>
        <w:t>ligand</w:t>
      </w:r>
      <w:proofErr w:type="spellEnd"/>
      <w:r w:rsidRPr="000B10A0">
        <w:rPr>
          <w:rFonts w:ascii="Times New Roman" w:hAnsi="Times New Roman" w:cs="Times New Roman"/>
          <w:sz w:val="24"/>
          <w:szCs w:val="24"/>
        </w:rPr>
        <w:t xml:space="preserve"> bağlayıcı </w:t>
      </w:r>
      <w:proofErr w:type="spellStart"/>
      <w:r w:rsidRPr="000B10A0">
        <w:rPr>
          <w:rFonts w:ascii="Times New Roman" w:hAnsi="Times New Roman" w:cs="Times New Roman"/>
          <w:sz w:val="24"/>
          <w:szCs w:val="24"/>
        </w:rPr>
        <w:t>assay</w:t>
      </w:r>
      <w:proofErr w:type="spellEnd"/>
      <w:r w:rsidRPr="000B10A0">
        <w:rPr>
          <w:rFonts w:ascii="Times New Roman" w:hAnsi="Times New Roman" w:cs="Times New Roman"/>
          <w:sz w:val="24"/>
          <w:szCs w:val="24"/>
        </w:rPr>
        <w:t xml:space="preserve"> veya hücre bazlı </w:t>
      </w:r>
      <w:proofErr w:type="spellStart"/>
      <w:r w:rsidRPr="000B10A0">
        <w:rPr>
          <w:rFonts w:ascii="Times New Roman" w:hAnsi="Times New Roman" w:cs="Times New Roman"/>
          <w:sz w:val="24"/>
          <w:szCs w:val="24"/>
        </w:rPr>
        <w:t>asssay</w:t>
      </w:r>
      <w:proofErr w:type="spellEnd"/>
      <w:r w:rsidRPr="000B10A0">
        <w:rPr>
          <w:rFonts w:ascii="Times New Roman" w:hAnsi="Times New Roman" w:cs="Times New Roman"/>
          <w:sz w:val="24"/>
          <w:szCs w:val="24"/>
        </w:rPr>
        <w:t xml:space="preserve"> uygun olabilir. </w:t>
      </w:r>
    </w:p>
    <w:p w14:paraId="109994FD" w14:textId="77777777" w:rsidR="006F6C39" w:rsidRPr="000B10A0" w:rsidRDefault="006F6C39" w:rsidP="006F6C39">
      <w:pPr>
        <w:ind w:right="-573"/>
        <w:jc w:val="both"/>
        <w:rPr>
          <w:rFonts w:ascii="Times New Roman" w:hAnsi="Times New Roman" w:cs="Times New Roman"/>
          <w:sz w:val="24"/>
          <w:szCs w:val="24"/>
        </w:rPr>
      </w:pPr>
      <w:r>
        <w:rPr>
          <w:rFonts w:ascii="Times New Roman" w:hAnsi="Times New Roman" w:cs="Times New Roman"/>
          <w:sz w:val="24"/>
          <w:szCs w:val="24"/>
        </w:rPr>
        <w:t>(9)</w:t>
      </w:r>
      <w:r w:rsidRPr="000B10A0">
        <w:rPr>
          <w:rFonts w:ascii="Times New Roman" w:hAnsi="Times New Roman" w:cs="Times New Roman"/>
          <w:sz w:val="24"/>
          <w:szCs w:val="24"/>
        </w:rPr>
        <w:t> </w:t>
      </w:r>
      <w:proofErr w:type="spellStart"/>
      <w:r w:rsidRPr="00950B28">
        <w:rPr>
          <w:rFonts w:ascii="Times New Roman" w:hAnsi="Times New Roman" w:cs="Times New Roman"/>
          <w:sz w:val="24"/>
          <w:szCs w:val="24"/>
        </w:rPr>
        <w:t>İmmünojenisite</w:t>
      </w:r>
      <w:proofErr w:type="spellEnd"/>
      <w:r w:rsidRPr="00950B28">
        <w:rPr>
          <w:rFonts w:ascii="Times New Roman" w:hAnsi="Times New Roman" w:cs="Times New Roman"/>
          <w:sz w:val="24"/>
          <w:szCs w:val="24"/>
        </w:rPr>
        <w:t xml:space="preserve"> çalışmasının süresi</w:t>
      </w:r>
      <w:r w:rsidRPr="000B10A0">
        <w:rPr>
          <w:rFonts w:ascii="Times New Roman" w:hAnsi="Times New Roman" w:cs="Times New Roman"/>
          <w:sz w:val="24"/>
          <w:szCs w:val="24"/>
        </w:rPr>
        <w:t xml:space="preserve">; tedavi süresi, ürünün dolaşımdan temizlenme süreci (antijenin </w:t>
      </w:r>
      <w:proofErr w:type="spellStart"/>
      <w:r w:rsidRPr="000B10A0">
        <w:rPr>
          <w:rFonts w:ascii="Times New Roman" w:hAnsi="Times New Roman" w:cs="Times New Roman"/>
          <w:sz w:val="24"/>
          <w:szCs w:val="24"/>
        </w:rPr>
        <w:t>interferansından</w:t>
      </w:r>
      <w:proofErr w:type="spellEnd"/>
      <w:r w:rsidRPr="000B10A0">
        <w:rPr>
          <w:rFonts w:ascii="Times New Roman" w:hAnsi="Times New Roman" w:cs="Times New Roman"/>
          <w:sz w:val="24"/>
          <w:szCs w:val="24"/>
        </w:rPr>
        <w:t xml:space="preserve"> kaçınmak için) ve </w:t>
      </w:r>
      <w:proofErr w:type="spellStart"/>
      <w:r w:rsidRPr="000B10A0">
        <w:rPr>
          <w:rFonts w:ascii="Times New Roman" w:hAnsi="Times New Roman" w:cs="Times New Roman"/>
          <w:sz w:val="24"/>
          <w:szCs w:val="24"/>
        </w:rPr>
        <w:t>humoral</w:t>
      </w:r>
      <w:proofErr w:type="spellEnd"/>
      <w:r w:rsidRPr="000B10A0">
        <w:rPr>
          <w:rFonts w:ascii="Times New Roman" w:hAnsi="Times New Roman" w:cs="Times New Roman"/>
          <w:sz w:val="24"/>
          <w:szCs w:val="24"/>
        </w:rPr>
        <w:t xml:space="preserve"> </w:t>
      </w:r>
      <w:proofErr w:type="spellStart"/>
      <w:r w:rsidRPr="000B10A0">
        <w:rPr>
          <w:rFonts w:ascii="Times New Roman" w:hAnsi="Times New Roman" w:cs="Times New Roman"/>
          <w:sz w:val="24"/>
          <w:szCs w:val="24"/>
        </w:rPr>
        <w:t>immun</w:t>
      </w:r>
      <w:proofErr w:type="spellEnd"/>
      <w:r w:rsidRPr="000B10A0">
        <w:rPr>
          <w:rFonts w:ascii="Times New Roman" w:hAnsi="Times New Roman" w:cs="Times New Roman"/>
          <w:sz w:val="24"/>
          <w:szCs w:val="24"/>
        </w:rPr>
        <w:t xml:space="preserve"> yanıtın ortaya çıkma zamanına (örneğin herhangi bir </w:t>
      </w:r>
      <w:proofErr w:type="spellStart"/>
      <w:r w:rsidRPr="000B10A0">
        <w:rPr>
          <w:rFonts w:ascii="Times New Roman" w:hAnsi="Times New Roman" w:cs="Times New Roman"/>
          <w:sz w:val="24"/>
          <w:szCs w:val="24"/>
        </w:rPr>
        <w:t>immün</w:t>
      </w:r>
      <w:proofErr w:type="spellEnd"/>
      <w:r w:rsidRPr="000B10A0">
        <w:rPr>
          <w:rFonts w:ascii="Times New Roman" w:hAnsi="Times New Roman" w:cs="Times New Roman"/>
          <w:sz w:val="24"/>
          <w:szCs w:val="24"/>
        </w:rPr>
        <w:t xml:space="preserve"> baskılayıcı ajan kullanıldığında en az 4 hafta) bağlı olarak vaka bazında gerekçelendirilmelidir. Takip süresi, referans tıbbi ürün için tanımlanan istenmeyen </w:t>
      </w:r>
      <w:proofErr w:type="spellStart"/>
      <w:r w:rsidRPr="000B10A0">
        <w:rPr>
          <w:rFonts w:ascii="Times New Roman" w:hAnsi="Times New Roman" w:cs="Times New Roman"/>
          <w:sz w:val="24"/>
          <w:szCs w:val="24"/>
        </w:rPr>
        <w:t>immün</w:t>
      </w:r>
      <w:proofErr w:type="spellEnd"/>
      <w:r w:rsidRPr="000B10A0">
        <w:rPr>
          <w:rFonts w:ascii="Times New Roman" w:hAnsi="Times New Roman" w:cs="Times New Roman"/>
          <w:sz w:val="24"/>
          <w:szCs w:val="24"/>
        </w:rPr>
        <w:t xml:space="preserve"> yanıtların sürecine ve özelliklerine (örnek olarak, klinik açıdan anlamlı </w:t>
      </w:r>
      <w:proofErr w:type="spellStart"/>
      <w:r w:rsidRPr="000B10A0">
        <w:rPr>
          <w:rFonts w:ascii="Times New Roman" w:hAnsi="Times New Roman" w:cs="Times New Roman"/>
          <w:sz w:val="24"/>
          <w:szCs w:val="24"/>
        </w:rPr>
        <w:t>immünojenisite</w:t>
      </w:r>
      <w:proofErr w:type="spellEnd"/>
      <w:r w:rsidRPr="000B10A0">
        <w:rPr>
          <w:rFonts w:ascii="Times New Roman" w:hAnsi="Times New Roman" w:cs="Times New Roman"/>
          <w:sz w:val="24"/>
          <w:szCs w:val="24"/>
        </w:rPr>
        <w:t xml:space="preserve"> riskinin düşük olması veya zamanla artan anlamlı </w:t>
      </w:r>
      <w:proofErr w:type="spellStart"/>
      <w:r w:rsidRPr="000B10A0">
        <w:rPr>
          <w:rFonts w:ascii="Times New Roman" w:hAnsi="Times New Roman" w:cs="Times New Roman"/>
          <w:sz w:val="24"/>
          <w:szCs w:val="24"/>
        </w:rPr>
        <w:t>immünojenisite</w:t>
      </w:r>
      <w:proofErr w:type="spellEnd"/>
      <w:r w:rsidRPr="000B10A0">
        <w:rPr>
          <w:rFonts w:ascii="Times New Roman" w:hAnsi="Times New Roman" w:cs="Times New Roman"/>
          <w:sz w:val="24"/>
          <w:szCs w:val="24"/>
        </w:rPr>
        <w:t xml:space="preserve"> eğiliminin bulunmaması) dayalı olarak gerekçelendirilmelidir. </w:t>
      </w:r>
      <w:r w:rsidRPr="00950B28">
        <w:rPr>
          <w:rFonts w:ascii="Times New Roman" w:hAnsi="Times New Roman" w:cs="Times New Roman"/>
          <w:sz w:val="24"/>
          <w:szCs w:val="24"/>
        </w:rPr>
        <w:t>Kronik uygulama</w:t>
      </w:r>
      <w:r w:rsidRPr="000B10A0">
        <w:rPr>
          <w:rFonts w:ascii="Times New Roman" w:hAnsi="Times New Roman" w:cs="Times New Roman"/>
          <w:sz w:val="24"/>
          <w:szCs w:val="24"/>
        </w:rPr>
        <w:t xml:space="preserve"> durumunda ruhsatlandırma öncesinde </w:t>
      </w:r>
      <w:r w:rsidRPr="00950B28">
        <w:rPr>
          <w:rFonts w:ascii="Times New Roman" w:hAnsi="Times New Roman" w:cs="Times New Roman"/>
          <w:sz w:val="24"/>
          <w:szCs w:val="24"/>
        </w:rPr>
        <w:t>bir yıllık izleme verileri</w:t>
      </w:r>
      <w:r w:rsidRPr="000B10A0">
        <w:rPr>
          <w:rFonts w:ascii="Times New Roman" w:hAnsi="Times New Roman" w:cs="Times New Roman"/>
          <w:sz w:val="24"/>
          <w:szCs w:val="24"/>
        </w:rPr>
        <w:t xml:space="preserve"> gereklidir. Ruhsatlandırma öncesinde daha kısa süreli </w:t>
      </w:r>
      <w:r w:rsidRPr="00950B28">
        <w:rPr>
          <w:rFonts w:ascii="Times New Roman" w:hAnsi="Times New Roman" w:cs="Times New Roman"/>
          <w:sz w:val="24"/>
          <w:szCs w:val="24"/>
        </w:rPr>
        <w:t>(en az 6 ay olmak koşulu ile</w:t>
      </w:r>
      <w:r w:rsidRPr="000B10A0">
        <w:rPr>
          <w:rFonts w:ascii="Times New Roman" w:hAnsi="Times New Roman" w:cs="Times New Roman"/>
          <w:sz w:val="24"/>
          <w:szCs w:val="24"/>
        </w:rPr>
        <w:t xml:space="preserve">) izleme verileri, referans ürünün </w:t>
      </w:r>
      <w:proofErr w:type="spellStart"/>
      <w:r w:rsidRPr="000B10A0">
        <w:rPr>
          <w:rFonts w:ascii="Times New Roman" w:hAnsi="Times New Roman" w:cs="Times New Roman"/>
          <w:sz w:val="24"/>
          <w:szCs w:val="24"/>
        </w:rPr>
        <w:t>immünojenisite</w:t>
      </w:r>
      <w:proofErr w:type="spellEnd"/>
      <w:r w:rsidRPr="000B10A0">
        <w:rPr>
          <w:rFonts w:ascii="Times New Roman" w:hAnsi="Times New Roman" w:cs="Times New Roman"/>
          <w:sz w:val="24"/>
          <w:szCs w:val="24"/>
        </w:rPr>
        <w:t xml:space="preserve"> </w:t>
      </w:r>
      <w:proofErr w:type="gramStart"/>
      <w:r w:rsidRPr="000B10A0">
        <w:rPr>
          <w:rFonts w:ascii="Times New Roman" w:hAnsi="Times New Roman" w:cs="Times New Roman"/>
          <w:sz w:val="24"/>
          <w:szCs w:val="24"/>
        </w:rPr>
        <w:t>profiline</w:t>
      </w:r>
      <w:proofErr w:type="gramEnd"/>
      <w:r w:rsidRPr="000B10A0">
        <w:rPr>
          <w:rFonts w:ascii="Times New Roman" w:hAnsi="Times New Roman" w:cs="Times New Roman"/>
          <w:sz w:val="24"/>
          <w:szCs w:val="24"/>
        </w:rPr>
        <w:t xml:space="preserve"> dayalı olarak gerekçelendirilebilir. Eğer ihtiyaç duyulursa (özellikle ruhsatlandırma öncesinde 6 aylık izleme verileri mevcutsa) ruhsatlandırma sonrasında, bir yıla kadar ilave bir süre için </w:t>
      </w:r>
      <w:proofErr w:type="spellStart"/>
      <w:r w:rsidRPr="000B10A0">
        <w:rPr>
          <w:rFonts w:ascii="Times New Roman" w:hAnsi="Times New Roman" w:cs="Times New Roman"/>
          <w:sz w:val="24"/>
          <w:szCs w:val="24"/>
        </w:rPr>
        <w:t>immünojenisite</w:t>
      </w:r>
      <w:proofErr w:type="spellEnd"/>
      <w:r w:rsidRPr="000B10A0">
        <w:rPr>
          <w:rFonts w:ascii="Times New Roman" w:hAnsi="Times New Roman" w:cs="Times New Roman"/>
          <w:sz w:val="24"/>
          <w:szCs w:val="24"/>
        </w:rPr>
        <w:t xml:space="preserve"> verileri sunulabilir. Bu durumda eğer mevcutsa ürüne özgü </w:t>
      </w:r>
      <w:proofErr w:type="spellStart"/>
      <w:r w:rsidRPr="000B10A0">
        <w:rPr>
          <w:rFonts w:ascii="Times New Roman" w:hAnsi="Times New Roman" w:cs="Times New Roman"/>
          <w:sz w:val="24"/>
          <w:szCs w:val="24"/>
        </w:rPr>
        <w:t>biyobenzer</w:t>
      </w:r>
      <w:proofErr w:type="spellEnd"/>
      <w:r w:rsidRPr="000B10A0">
        <w:rPr>
          <w:rFonts w:ascii="Times New Roman" w:hAnsi="Times New Roman" w:cs="Times New Roman"/>
          <w:sz w:val="24"/>
          <w:szCs w:val="24"/>
        </w:rPr>
        <w:t xml:space="preserve"> kılavuzlarına bakılmalıdır.</w:t>
      </w:r>
    </w:p>
    <w:p w14:paraId="6EF55F23" w14:textId="77777777" w:rsidR="006F6C39" w:rsidRPr="002C7935" w:rsidRDefault="006F6C39" w:rsidP="006F6C39">
      <w:pPr>
        <w:ind w:right="-567"/>
        <w:jc w:val="both"/>
        <w:rPr>
          <w:rFonts w:ascii="Times New Roman" w:hAnsi="Times New Roman" w:cs="Times New Roman"/>
          <w:sz w:val="24"/>
          <w:szCs w:val="24"/>
        </w:rPr>
      </w:pPr>
      <w:r w:rsidRPr="002C7935">
        <w:rPr>
          <w:rFonts w:ascii="Times New Roman" w:hAnsi="Times New Roman" w:cs="Times New Roman"/>
          <w:sz w:val="24"/>
          <w:szCs w:val="24"/>
        </w:rPr>
        <w:t>(1</w:t>
      </w:r>
      <w:r>
        <w:rPr>
          <w:rFonts w:ascii="Times New Roman" w:hAnsi="Times New Roman" w:cs="Times New Roman"/>
          <w:sz w:val="24"/>
          <w:szCs w:val="24"/>
        </w:rPr>
        <w:t>0</w:t>
      </w:r>
      <w:r w:rsidRPr="002C7935">
        <w:rPr>
          <w:rFonts w:ascii="Times New Roman" w:hAnsi="Times New Roman" w:cs="Times New Roman"/>
          <w:sz w:val="24"/>
          <w:szCs w:val="24"/>
        </w:rPr>
        <w:t>) Referans</w:t>
      </w:r>
      <w:r w:rsidRPr="001F447B">
        <w:rPr>
          <w:rFonts w:ascii="Times New Roman" w:hAnsi="Times New Roman" w:cs="Times New Roman"/>
          <w:sz w:val="24"/>
          <w:szCs w:val="24"/>
        </w:rPr>
        <w:t xml:space="preserve"> tıbbi</w:t>
      </w:r>
      <w:r w:rsidRPr="002C7935">
        <w:rPr>
          <w:rFonts w:ascii="Times New Roman" w:hAnsi="Times New Roman" w:cs="Times New Roman"/>
          <w:sz w:val="24"/>
          <w:szCs w:val="24"/>
        </w:rPr>
        <w:t xml:space="preserve"> ürün ile karşılaştırıldığında artmış </w:t>
      </w:r>
      <w:proofErr w:type="spellStart"/>
      <w:r w:rsidRPr="002C7935">
        <w:rPr>
          <w:rFonts w:ascii="Times New Roman" w:hAnsi="Times New Roman" w:cs="Times New Roman"/>
          <w:sz w:val="24"/>
          <w:szCs w:val="24"/>
        </w:rPr>
        <w:t>immünojenisite</w:t>
      </w:r>
      <w:proofErr w:type="spellEnd"/>
      <w:r w:rsidRPr="002C7935">
        <w:rPr>
          <w:rFonts w:ascii="Times New Roman" w:hAnsi="Times New Roman" w:cs="Times New Roman"/>
          <w:sz w:val="24"/>
          <w:szCs w:val="24"/>
        </w:rPr>
        <w:t xml:space="preserve">, fayda/risk analizi bakımından bir sorun yaratabilir ve </w:t>
      </w:r>
      <w:proofErr w:type="spellStart"/>
      <w:r w:rsidRPr="002C7935">
        <w:rPr>
          <w:rFonts w:ascii="Times New Roman" w:hAnsi="Times New Roman" w:cs="Times New Roman"/>
          <w:sz w:val="24"/>
          <w:szCs w:val="24"/>
        </w:rPr>
        <w:t>biyobenzerliğin</w:t>
      </w:r>
      <w:proofErr w:type="spellEnd"/>
      <w:r w:rsidRPr="002C7935">
        <w:rPr>
          <w:rFonts w:ascii="Times New Roman" w:hAnsi="Times New Roman" w:cs="Times New Roman"/>
          <w:sz w:val="24"/>
          <w:szCs w:val="24"/>
        </w:rPr>
        <w:t xml:space="preserve"> sorgulanmasını gerektirebilir.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w:t>
      </w:r>
      <w:r>
        <w:rPr>
          <w:rFonts w:ascii="Times New Roman" w:hAnsi="Times New Roman" w:cs="Times New Roman"/>
          <w:sz w:val="24"/>
          <w:szCs w:val="24"/>
        </w:rPr>
        <w:lastRenderedPageBreak/>
        <w:t>ürün</w:t>
      </w:r>
      <w:r w:rsidRPr="002C7935">
        <w:rPr>
          <w:rFonts w:ascii="Times New Roman" w:hAnsi="Times New Roman" w:cs="Times New Roman"/>
          <w:sz w:val="24"/>
          <w:szCs w:val="24"/>
        </w:rPr>
        <w:t xml:space="preserve"> için </w:t>
      </w:r>
      <w:r w:rsidRPr="001F447B">
        <w:rPr>
          <w:rFonts w:ascii="Times New Roman" w:hAnsi="Times New Roman" w:cs="Times New Roman"/>
          <w:sz w:val="24"/>
          <w:szCs w:val="24"/>
        </w:rPr>
        <w:t xml:space="preserve">daha düşük bir </w:t>
      </w:r>
      <w:proofErr w:type="spellStart"/>
      <w:r w:rsidRPr="001F447B">
        <w:rPr>
          <w:rFonts w:ascii="Times New Roman" w:hAnsi="Times New Roman" w:cs="Times New Roman"/>
          <w:sz w:val="24"/>
          <w:szCs w:val="24"/>
        </w:rPr>
        <w:t>immünojenisite</w:t>
      </w:r>
      <w:proofErr w:type="spellEnd"/>
      <w:r w:rsidRPr="001F447B">
        <w:rPr>
          <w:rFonts w:ascii="Times New Roman" w:hAnsi="Times New Roman" w:cs="Times New Roman"/>
          <w:sz w:val="24"/>
          <w:szCs w:val="24"/>
        </w:rPr>
        <w:t xml:space="preserve"> ise</w:t>
      </w:r>
      <w:r w:rsidRPr="002C7935">
        <w:rPr>
          <w:rFonts w:ascii="Times New Roman" w:hAnsi="Times New Roman" w:cs="Times New Roman"/>
          <w:sz w:val="24"/>
          <w:szCs w:val="24"/>
        </w:rPr>
        <w:t xml:space="preserve"> bir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ürün </w:t>
      </w:r>
      <w:r w:rsidRPr="002C7935">
        <w:rPr>
          <w:rFonts w:ascii="Times New Roman" w:hAnsi="Times New Roman" w:cs="Times New Roman"/>
          <w:sz w:val="24"/>
          <w:szCs w:val="24"/>
        </w:rPr>
        <w:t>ol</w:t>
      </w:r>
      <w:r w:rsidRPr="001F447B">
        <w:rPr>
          <w:rFonts w:ascii="Times New Roman" w:hAnsi="Times New Roman" w:cs="Times New Roman"/>
          <w:sz w:val="24"/>
          <w:szCs w:val="24"/>
        </w:rPr>
        <w:t>arak kabul edilmeye engel değil</w:t>
      </w:r>
      <w:r w:rsidRPr="002C7935">
        <w:rPr>
          <w:rFonts w:ascii="Times New Roman" w:hAnsi="Times New Roman" w:cs="Times New Roman"/>
          <w:sz w:val="24"/>
          <w:szCs w:val="24"/>
        </w:rPr>
        <w:t xml:space="preserve">dir.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w:t>
      </w:r>
      <w:r w:rsidRPr="002C7935">
        <w:rPr>
          <w:rFonts w:ascii="Times New Roman" w:hAnsi="Times New Roman" w:cs="Times New Roman"/>
          <w:sz w:val="24"/>
          <w:szCs w:val="24"/>
        </w:rPr>
        <w:t xml:space="preserve">ürüne karşı daha düşük düzeyde </w:t>
      </w:r>
      <w:proofErr w:type="spellStart"/>
      <w:r w:rsidRPr="002C7935">
        <w:rPr>
          <w:rFonts w:ascii="Times New Roman" w:hAnsi="Times New Roman" w:cs="Times New Roman"/>
          <w:sz w:val="24"/>
          <w:szCs w:val="24"/>
        </w:rPr>
        <w:t>nötralizan</w:t>
      </w:r>
      <w:proofErr w:type="spellEnd"/>
      <w:r w:rsidRPr="002C7935">
        <w:rPr>
          <w:rFonts w:ascii="Times New Roman" w:hAnsi="Times New Roman" w:cs="Times New Roman"/>
          <w:sz w:val="24"/>
          <w:szCs w:val="24"/>
        </w:rPr>
        <w:t xml:space="preserve"> antikor gelişmiş olması, çalışma </w:t>
      </w:r>
      <w:proofErr w:type="gramStart"/>
      <w:r w:rsidRPr="002C7935">
        <w:rPr>
          <w:rFonts w:ascii="Times New Roman" w:hAnsi="Times New Roman" w:cs="Times New Roman"/>
          <w:sz w:val="24"/>
          <w:szCs w:val="24"/>
        </w:rPr>
        <w:t>popülasyonunun</w:t>
      </w:r>
      <w:proofErr w:type="gramEnd"/>
      <w:r w:rsidRPr="002C7935">
        <w:rPr>
          <w:rFonts w:ascii="Times New Roman" w:hAnsi="Times New Roman" w:cs="Times New Roman"/>
          <w:sz w:val="24"/>
          <w:szCs w:val="24"/>
        </w:rPr>
        <w:t xml:space="preserve"> tümü için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ürünün referans</w:t>
      </w:r>
      <w:r w:rsidRPr="001F447B">
        <w:rPr>
          <w:rFonts w:ascii="Times New Roman" w:hAnsi="Times New Roman" w:cs="Times New Roman"/>
          <w:sz w:val="24"/>
          <w:szCs w:val="24"/>
        </w:rPr>
        <w:t xml:space="preserve"> tıbbi</w:t>
      </w:r>
      <w:r w:rsidRPr="002C7935">
        <w:rPr>
          <w:rFonts w:ascii="Times New Roman" w:hAnsi="Times New Roman" w:cs="Times New Roman"/>
          <w:sz w:val="24"/>
          <w:szCs w:val="24"/>
        </w:rPr>
        <w:t xml:space="preserve"> üründen daha etkili olduğu anlamına gelmez. Bu nedenle, klinik çalışma protokolünde, çalışma sırasında antikor gelişmeyecek hasta alt grubunun etkililik ve güvenlilik yönünden araştırılacağının belirtilmesi tavsiye edil</w:t>
      </w:r>
      <w:r w:rsidRPr="001F447B">
        <w:rPr>
          <w:rFonts w:ascii="Times New Roman" w:hAnsi="Times New Roman" w:cs="Times New Roman"/>
          <w:sz w:val="24"/>
          <w:szCs w:val="24"/>
        </w:rPr>
        <w:t>ir. Bu alt grup analizi</w:t>
      </w:r>
      <w:r>
        <w:rPr>
          <w:rFonts w:ascii="Times New Roman" w:hAnsi="Times New Roman" w:cs="Times New Roman"/>
          <w:sz w:val="24"/>
          <w:szCs w:val="24"/>
        </w:rPr>
        <w:t>,</w:t>
      </w:r>
      <w:r w:rsidRPr="001F447B">
        <w:rPr>
          <w:rFonts w:ascii="Times New Roman" w:hAnsi="Times New Roman" w:cs="Times New Roman"/>
          <w:sz w:val="24"/>
          <w:szCs w:val="24"/>
        </w:rPr>
        <w:t xml:space="preserve"> bir </w:t>
      </w:r>
      <w:proofErr w:type="spellStart"/>
      <w:r w:rsidRPr="001F447B">
        <w:rPr>
          <w:rFonts w:ascii="Times New Roman" w:hAnsi="Times New Roman" w:cs="Times New Roman"/>
          <w:sz w:val="24"/>
          <w:szCs w:val="24"/>
        </w:rPr>
        <w:t>immü</w:t>
      </w:r>
      <w:r w:rsidRPr="002C7935">
        <w:rPr>
          <w:rFonts w:ascii="Times New Roman" w:hAnsi="Times New Roman" w:cs="Times New Roman"/>
          <w:sz w:val="24"/>
          <w:szCs w:val="24"/>
        </w:rPr>
        <w:t>n</w:t>
      </w:r>
      <w:proofErr w:type="spellEnd"/>
      <w:r w:rsidRPr="002C7935">
        <w:rPr>
          <w:rFonts w:ascii="Times New Roman" w:hAnsi="Times New Roman" w:cs="Times New Roman"/>
          <w:sz w:val="24"/>
          <w:szCs w:val="24"/>
        </w:rPr>
        <w:t xml:space="preserve"> yanıttan etkilenmedikler</w:t>
      </w:r>
      <w:r w:rsidRPr="001F447B">
        <w:rPr>
          <w:rFonts w:ascii="Times New Roman" w:hAnsi="Times New Roman" w:cs="Times New Roman"/>
          <w:sz w:val="24"/>
          <w:szCs w:val="24"/>
        </w:rPr>
        <w:t>i takd</w:t>
      </w:r>
      <w:r w:rsidRPr="002C7935">
        <w:rPr>
          <w:rFonts w:ascii="Times New Roman" w:hAnsi="Times New Roman" w:cs="Times New Roman"/>
          <w:sz w:val="24"/>
          <w:szCs w:val="24"/>
        </w:rPr>
        <w:t>irde</w:t>
      </w:r>
      <w:r>
        <w:rPr>
          <w:rFonts w:ascii="Times New Roman" w:hAnsi="Times New Roman" w:cs="Times New Roman"/>
          <w:sz w:val="24"/>
          <w:szCs w:val="24"/>
        </w:rPr>
        <w:t>,</w:t>
      </w:r>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tıbbi ürün </w:t>
      </w:r>
      <w:r w:rsidRPr="002C7935">
        <w:rPr>
          <w:rFonts w:ascii="Times New Roman" w:hAnsi="Times New Roman" w:cs="Times New Roman"/>
          <w:sz w:val="24"/>
          <w:szCs w:val="24"/>
        </w:rPr>
        <w:t>ve referans</w:t>
      </w:r>
      <w:r>
        <w:rPr>
          <w:rFonts w:ascii="Times New Roman" w:hAnsi="Times New Roman" w:cs="Times New Roman"/>
          <w:sz w:val="24"/>
          <w:szCs w:val="24"/>
        </w:rPr>
        <w:t xml:space="preserve"> tıbbi</w:t>
      </w:r>
      <w:r w:rsidRPr="002C7935">
        <w:rPr>
          <w:rFonts w:ascii="Times New Roman" w:hAnsi="Times New Roman" w:cs="Times New Roman"/>
          <w:sz w:val="24"/>
          <w:szCs w:val="24"/>
        </w:rPr>
        <w:t xml:space="preserve"> ürünün etkililiğinin prensip olarak benzer olduğunu tespit etmek için yararlı olabilir.</w:t>
      </w:r>
    </w:p>
    <w:p w14:paraId="42987E67" w14:textId="77777777" w:rsidR="00336B38" w:rsidRPr="002C7935" w:rsidRDefault="00336B38" w:rsidP="00336B38">
      <w:pPr>
        <w:ind w:right="-567"/>
        <w:jc w:val="both"/>
        <w:rPr>
          <w:rFonts w:ascii="Times New Roman" w:hAnsi="Times New Roman" w:cs="Times New Roman"/>
          <w:sz w:val="24"/>
          <w:szCs w:val="24"/>
        </w:rPr>
      </w:pPr>
    </w:p>
    <w:p w14:paraId="6F360151" w14:textId="77777777" w:rsidR="00336B38" w:rsidRPr="002C7935" w:rsidRDefault="00336B38" w:rsidP="00336B38">
      <w:pPr>
        <w:ind w:right="-567"/>
        <w:jc w:val="both"/>
        <w:rPr>
          <w:rFonts w:ascii="Times New Roman" w:hAnsi="Times New Roman" w:cs="Times New Roman"/>
          <w:b/>
          <w:sz w:val="24"/>
          <w:szCs w:val="24"/>
        </w:rPr>
      </w:pPr>
      <w:r w:rsidRPr="002C7935">
        <w:rPr>
          <w:rFonts w:ascii="Times New Roman" w:hAnsi="Times New Roman" w:cs="Times New Roman"/>
          <w:b/>
          <w:sz w:val="24"/>
          <w:szCs w:val="24"/>
        </w:rPr>
        <w:t xml:space="preserve">Etkililik ve Güvenliliğin Bir </w:t>
      </w:r>
      <w:proofErr w:type="spellStart"/>
      <w:r w:rsidRPr="002C7935">
        <w:rPr>
          <w:rFonts w:ascii="Times New Roman" w:hAnsi="Times New Roman" w:cs="Times New Roman"/>
          <w:b/>
          <w:sz w:val="24"/>
          <w:szCs w:val="24"/>
        </w:rPr>
        <w:t>Terapötik</w:t>
      </w:r>
      <w:proofErr w:type="spellEnd"/>
      <w:r w:rsidRPr="002C7935">
        <w:rPr>
          <w:rFonts w:ascii="Times New Roman" w:hAnsi="Times New Roman" w:cs="Times New Roman"/>
          <w:b/>
          <w:sz w:val="24"/>
          <w:szCs w:val="24"/>
        </w:rPr>
        <w:t xml:space="preserve"> </w:t>
      </w:r>
      <w:proofErr w:type="spellStart"/>
      <w:r w:rsidRPr="002C7935">
        <w:rPr>
          <w:rFonts w:ascii="Times New Roman" w:hAnsi="Times New Roman" w:cs="Times New Roman"/>
          <w:b/>
          <w:sz w:val="24"/>
          <w:szCs w:val="24"/>
        </w:rPr>
        <w:t>Endikasyondan</w:t>
      </w:r>
      <w:proofErr w:type="spellEnd"/>
      <w:r w:rsidRPr="002C7935">
        <w:rPr>
          <w:rFonts w:ascii="Times New Roman" w:hAnsi="Times New Roman" w:cs="Times New Roman"/>
          <w:b/>
          <w:sz w:val="24"/>
          <w:szCs w:val="24"/>
        </w:rPr>
        <w:t xml:space="preserve"> Diğer </w:t>
      </w:r>
      <w:proofErr w:type="spellStart"/>
      <w:r w:rsidRPr="002C7935">
        <w:rPr>
          <w:rFonts w:ascii="Times New Roman" w:hAnsi="Times New Roman" w:cs="Times New Roman"/>
          <w:b/>
          <w:sz w:val="24"/>
          <w:szCs w:val="24"/>
        </w:rPr>
        <w:t>Terapötik</w:t>
      </w:r>
      <w:proofErr w:type="spellEnd"/>
      <w:r w:rsidRPr="002C7935">
        <w:rPr>
          <w:rFonts w:ascii="Times New Roman" w:hAnsi="Times New Roman" w:cs="Times New Roman"/>
          <w:b/>
          <w:sz w:val="24"/>
          <w:szCs w:val="24"/>
        </w:rPr>
        <w:t xml:space="preserve"> </w:t>
      </w:r>
      <w:proofErr w:type="spellStart"/>
      <w:r w:rsidRPr="002C7935">
        <w:rPr>
          <w:rFonts w:ascii="Times New Roman" w:hAnsi="Times New Roman" w:cs="Times New Roman"/>
          <w:b/>
          <w:sz w:val="24"/>
          <w:szCs w:val="24"/>
        </w:rPr>
        <w:t>Endikasyona</w:t>
      </w:r>
      <w:proofErr w:type="spellEnd"/>
      <w:r w:rsidRPr="002C7935">
        <w:rPr>
          <w:rFonts w:ascii="Times New Roman" w:hAnsi="Times New Roman" w:cs="Times New Roman"/>
          <w:b/>
          <w:sz w:val="24"/>
          <w:szCs w:val="24"/>
        </w:rPr>
        <w:t xml:space="preserve"> </w:t>
      </w:r>
      <w:proofErr w:type="spellStart"/>
      <w:r w:rsidRPr="002C7935">
        <w:rPr>
          <w:rFonts w:ascii="Times New Roman" w:hAnsi="Times New Roman" w:cs="Times New Roman"/>
          <w:b/>
          <w:sz w:val="24"/>
          <w:szCs w:val="24"/>
        </w:rPr>
        <w:t>Ekstrapolasyonu</w:t>
      </w:r>
      <w:proofErr w:type="spellEnd"/>
    </w:p>
    <w:p w14:paraId="05DD80B5"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b/>
          <w:sz w:val="24"/>
          <w:szCs w:val="24"/>
        </w:rPr>
        <w:t>MADDE 2</w:t>
      </w:r>
      <w:r>
        <w:rPr>
          <w:rFonts w:ascii="Times New Roman" w:hAnsi="Times New Roman" w:cs="Times New Roman"/>
          <w:b/>
          <w:sz w:val="24"/>
          <w:szCs w:val="24"/>
        </w:rPr>
        <w:t>3 -</w:t>
      </w:r>
      <w:r w:rsidRPr="002C7935">
        <w:rPr>
          <w:rFonts w:ascii="Times New Roman" w:hAnsi="Times New Roman" w:cs="Times New Roman"/>
          <w:sz w:val="24"/>
          <w:szCs w:val="24"/>
        </w:rPr>
        <w:t xml:space="preserve"> (1) Referans tıbbi ürünün, birden fazla </w:t>
      </w:r>
      <w:proofErr w:type="spellStart"/>
      <w:r w:rsidRPr="002C7935">
        <w:rPr>
          <w:rFonts w:ascii="Times New Roman" w:hAnsi="Times New Roman" w:cs="Times New Roman"/>
          <w:sz w:val="24"/>
          <w:szCs w:val="24"/>
        </w:rPr>
        <w:t>terapötik</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endikasyonu</w:t>
      </w:r>
      <w:proofErr w:type="spellEnd"/>
      <w:r w:rsidRPr="002C7935">
        <w:rPr>
          <w:rFonts w:ascii="Times New Roman" w:hAnsi="Times New Roman" w:cs="Times New Roman"/>
          <w:sz w:val="24"/>
          <w:szCs w:val="24"/>
        </w:rPr>
        <w:t xml:space="preserve"> olabilir.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karşılaştırılabilir</w:t>
      </w:r>
      <w:r>
        <w:rPr>
          <w:rFonts w:ascii="Times New Roman" w:hAnsi="Times New Roman" w:cs="Times New Roman"/>
          <w:sz w:val="24"/>
          <w:szCs w:val="24"/>
        </w:rPr>
        <w:t>lik</w:t>
      </w:r>
      <w:proofErr w:type="spellEnd"/>
      <w:r w:rsidRPr="002C7935">
        <w:rPr>
          <w:rFonts w:ascii="Times New Roman" w:hAnsi="Times New Roman" w:cs="Times New Roman"/>
          <w:sz w:val="24"/>
          <w:szCs w:val="24"/>
        </w:rPr>
        <w:t xml:space="preserve"> bir </w:t>
      </w:r>
      <w:proofErr w:type="spellStart"/>
      <w:r w:rsidRPr="002C7935">
        <w:rPr>
          <w:rFonts w:ascii="Times New Roman" w:hAnsi="Times New Roman" w:cs="Times New Roman"/>
          <w:sz w:val="24"/>
          <w:szCs w:val="24"/>
        </w:rPr>
        <w:t>endikasyonda</w:t>
      </w:r>
      <w:proofErr w:type="spellEnd"/>
      <w:r w:rsidRPr="002C7935">
        <w:rPr>
          <w:rFonts w:ascii="Times New Roman" w:hAnsi="Times New Roman" w:cs="Times New Roman"/>
          <w:sz w:val="24"/>
          <w:szCs w:val="24"/>
        </w:rPr>
        <w:t xml:space="preserve"> gösterildiği zaman, bilimsel olarak gerekçelendirilmesi koşuluyla, klinik verilerin referans ürünün diğer </w:t>
      </w:r>
      <w:proofErr w:type="spellStart"/>
      <w:r w:rsidRPr="002C7935">
        <w:rPr>
          <w:rFonts w:ascii="Times New Roman" w:hAnsi="Times New Roman" w:cs="Times New Roman"/>
          <w:sz w:val="24"/>
          <w:szCs w:val="24"/>
        </w:rPr>
        <w:t>endikasyonlarına</w:t>
      </w:r>
      <w:proofErr w:type="spellEnd"/>
      <w:r w:rsidRPr="001F447B">
        <w:rPr>
          <w:rFonts w:ascii="Times New Roman" w:hAnsi="Times New Roman" w:cs="Times New Roman"/>
          <w:sz w:val="24"/>
          <w:szCs w:val="24"/>
        </w:rPr>
        <w:t xml:space="preserve"> da</w:t>
      </w:r>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ekstrapolasyonu</w:t>
      </w:r>
      <w:proofErr w:type="spellEnd"/>
      <w:r w:rsidRPr="002C7935">
        <w:rPr>
          <w:rFonts w:ascii="Times New Roman" w:hAnsi="Times New Roman" w:cs="Times New Roman"/>
          <w:sz w:val="24"/>
          <w:szCs w:val="24"/>
        </w:rPr>
        <w:t xml:space="preserve"> kabul edilebilir. </w:t>
      </w:r>
      <w:proofErr w:type="spellStart"/>
      <w:r w:rsidRPr="002C7935">
        <w:rPr>
          <w:rFonts w:ascii="Times New Roman" w:hAnsi="Times New Roman" w:cs="Times New Roman"/>
          <w:sz w:val="24"/>
          <w:szCs w:val="24"/>
        </w:rPr>
        <w:t>Ekstrapolasyon</w:t>
      </w:r>
      <w:proofErr w:type="spellEnd"/>
      <w:r>
        <w:rPr>
          <w:rFonts w:ascii="Times New Roman" w:hAnsi="Times New Roman" w:cs="Times New Roman"/>
          <w:sz w:val="24"/>
          <w:szCs w:val="24"/>
        </w:rPr>
        <w:t xml:space="preserve"> talepleri</w:t>
      </w:r>
      <w:r w:rsidRPr="002C7935">
        <w:rPr>
          <w:rFonts w:ascii="Times New Roman" w:hAnsi="Times New Roman" w:cs="Times New Roman"/>
          <w:sz w:val="24"/>
          <w:szCs w:val="24"/>
        </w:rPr>
        <w:t xml:space="preserve">, kalite, klinik dışı ve klinik verilerin tümü dikkate alınarak </w:t>
      </w:r>
      <w:r>
        <w:rPr>
          <w:rFonts w:ascii="Times New Roman" w:hAnsi="Times New Roman" w:cs="Times New Roman"/>
          <w:sz w:val="24"/>
          <w:szCs w:val="24"/>
        </w:rPr>
        <w:t xml:space="preserve">ürün temelinde </w:t>
      </w:r>
      <w:r w:rsidRPr="002C7935">
        <w:rPr>
          <w:rFonts w:ascii="Times New Roman" w:hAnsi="Times New Roman" w:cs="Times New Roman"/>
          <w:sz w:val="24"/>
          <w:szCs w:val="24"/>
        </w:rPr>
        <w:t>değerlendiril</w:t>
      </w:r>
      <w:r>
        <w:rPr>
          <w:rFonts w:ascii="Times New Roman" w:hAnsi="Times New Roman" w:cs="Times New Roman"/>
          <w:sz w:val="24"/>
          <w:szCs w:val="24"/>
        </w:rPr>
        <w:t>ecektir</w:t>
      </w:r>
      <w:r w:rsidRPr="002C7935">
        <w:rPr>
          <w:rFonts w:ascii="Times New Roman" w:hAnsi="Times New Roman" w:cs="Times New Roman"/>
          <w:sz w:val="24"/>
          <w:szCs w:val="24"/>
        </w:rPr>
        <w:t>.</w:t>
      </w:r>
    </w:p>
    <w:p w14:paraId="1D9F5209"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(2) </w:t>
      </w:r>
      <w:proofErr w:type="spellStart"/>
      <w:r w:rsidRPr="002C7935">
        <w:rPr>
          <w:rFonts w:ascii="Times New Roman" w:hAnsi="Times New Roman" w:cs="Times New Roman"/>
          <w:sz w:val="24"/>
          <w:szCs w:val="24"/>
        </w:rPr>
        <w:t>Biyobenzer</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karşılaştırıl</w:t>
      </w:r>
      <w:r w:rsidRPr="001F447B">
        <w:rPr>
          <w:rFonts w:ascii="Times New Roman" w:hAnsi="Times New Roman" w:cs="Times New Roman"/>
          <w:sz w:val="24"/>
          <w:szCs w:val="24"/>
        </w:rPr>
        <w:t>abilirliğin</w:t>
      </w:r>
      <w:proofErr w:type="spellEnd"/>
      <w:r w:rsidRPr="001F447B">
        <w:rPr>
          <w:rFonts w:ascii="Times New Roman" w:hAnsi="Times New Roman" w:cs="Times New Roman"/>
          <w:sz w:val="24"/>
          <w:szCs w:val="24"/>
        </w:rPr>
        <w:t xml:space="preserve">, ayrıntılı </w:t>
      </w:r>
      <w:proofErr w:type="spellStart"/>
      <w:r w:rsidRPr="001F447B">
        <w:rPr>
          <w:rFonts w:ascii="Times New Roman" w:hAnsi="Times New Roman" w:cs="Times New Roman"/>
          <w:sz w:val="24"/>
          <w:szCs w:val="24"/>
        </w:rPr>
        <w:t>fiziko</w:t>
      </w:r>
      <w:r w:rsidRPr="002C7935">
        <w:rPr>
          <w:rFonts w:ascii="Times New Roman" w:hAnsi="Times New Roman" w:cs="Times New Roman"/>
          <w:sz w:val="24"/>
          <w:szCs w:val="24"/>
        </w:rPr>
        <w:t>kimyasal</w:t>
      </w:r>
      <w:proofErr w:type="spellEnd"/>
      <w:r w:rsidRPr="002C7935">
        <w:rPr>
          <w:rFonts w:ascii="Times New Roman" w:hAnsi="Times New Roman" w:cs="Times New Roman"/>
          <w:sz w:val="24"/>
          <w:szCs w:val="24"/>
        </w:rPr>
        <w:t xml:space="preserve"> ve yapısal analizler ile ve ayrıca bir </w:t>
      </w:r>
      <w:proofErr w:type="spellStart"/>
      <w:r w:rsidRPr="002C7935">
        <w:rPr>
          <w:rFonts w:ascii="Times New Roman" w:hAnsi="Times New Roman" w:cs="Times New Roman"/>
          <w:sz w:val="24"/>
          <w:szCs w:val="24"/>
        </w:rPr>
        <w:t>terapötik</w:t>
      </w:r>
      <w:proofErr w:type="spellEnd"/>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endikasyondaki</w:t>
      </w:r>
      <w:proofErr w:type="spellEnd"/>
      <w:r w:rsidRPr="002C7935">
        <w:rPr>
          <w:rFonts w:ascii="Times New Roman" w:hAnsi="Times New Roman" w:cs="Times New Roman"/>
          <w:sz w:val="24"/>
          <w:szCs w:val="24"/>
        </w:rPr>
        <w:t xml:space="preserve"> klinik veriler ile tamamlanan </w:t>
      </w:r>
      <w:r w:rsidRPr="002C7935">
        <w:rPr>
          <w:rFonts w:ascii="Times New Roman" w:hAnsi="Times New Roman" w:cs="Times New Roman"/>
          <w:i/>
          <w:sz w:val="24"/>
          <w:szCs w:val="24"/>
        </w:rPr>
        <w:t xml:space="preserve">in </w:t>
      </w:r>
      <w:proofErr w:type="spellStart"/>
      <w:r w:rsidRPr="002C7935">
        <w:rPr>
          <w:rFonts w:ascii="Times New Roman" w:hAnsi="Times New Roman" w:cs="Times New Roman"/>
          <w:i/>
          <w:sz w:val="24"/>
          <w:szCs w:val="24"/>
        </w:rPr>
        <w:t>vitro</w:t>
      </w:r>
      <w:proofErr w:type="spellEnd"/>
      <w:r w:rsidRPr="002C7935">
        <w:rPr>
          <w:rFonts w:ascii="Times New Roman" w:hAnsi="Times New Roman" w:cs="Times New Roman"/>
          <w:i/>
          <w:sz w:val="24"/>
          <w:szCs w:val="24"/>
        </w:rPr>
        <w:t xml:space="preserve"> </w:t>
      </w:r>
      <w:r w:rsidRPr="001F447B">
        <w:rPr>
          <w:rFonts w:ascii="Times New Roman" w:hAnsi="Times New Roman" w:cs="Times New Roman"/>
          <w:sz w:val="24"/>
          <w:szCs w:val="24"/>
        </w:rPr>
        <w:t xml:space="preserve">işlevsel </w:t>
      </w:r>
      <w:r w:rsidRPr="002C7935">
        <w:rPr>
          <w:rFonts w:ascii="Times New Roman" w:hAnsi="Times New Roman" w:cs="Times New Roman"/>
          <w:sz w:val="24"/>
          <w:szCs w:val="24"/>
        </w:rPr>
        <w:t xml:space="preserve">testler aracılığıyla (etkililik ve güvenlilik ve/veya </w:t>
      </w:r>
      <w:proofErr w:type="spellStart"/>
      <w:r w:rsidRPr="002C7935">
        <w:rPr>
          <w:rFonts w:ascii="Times New Roman" w:hAnsi="Times New Roman" w:cs="Times New Roman"/>
          <w:sz w:val="24"/>
          <w:szCs w:val="24"/>
        </w:rPr>
        <w:t>farmakokinetik</w:t>
      </w:r>
      <w:proofErr w:type="spellEnd"/>
      <w:r w:rsidRPr="002C7935">
        <w:rPr>
          <w:rFonts w:ascii="Times New Roman" w:hAnsi="Times New Roman" w:cs="Times New Roman"/>
          <w:sz w:val="24"/>
          <w:szCs w:val="24"/>
        </w:rPr>
        <w:t xml:space="preserve"> / farmakodinamik veriler) gösterildiği durumlarda, güvenlilik ve etkililiğin </w:t>
      </w:r>
      <w:r>
        <w:rPr>
          <w:rFonts w:ascii="Times New Roman" w:hAnsi="Times New Roman" w:cs="Times New Roman"/>
          <w:sz w:val="24"/>
          <w:szCs w:val="24"/>
        </w:rPr>
        <w:t xml:space="preserve">diğer </w:t>
      </w:r>
      <w:proofErr w:type="spellStart"/>
      <w:r>
        <w:rPr>
          <w:rFonts w:ascii="Times New Roman" w:hAnsi="Times New Roman" w:cs="Times New Roman"/>
          <w:sz w:val="24"/>
          <w:szCs w:val="24"/>
        </w:rPr>
        <w:t>endikasyonlara</w:t>
      </w:r>
      <w:proofErr w:type="spellEnd"/>
      <w:r>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ekstrapole</w:t>
      </w:r>
      <w:proofErr w:type="spellEnd"/>
      <w:r w:rsidRPr="002C7935">
        <w:rPr>
          <w:rFonts w:ascii="Times New Roman" w:hAnsi="Times New Roman" w:cs="Times New Roman"/>
          <w:sz w:val="24"/>
          <w:szCs w:val="24"/>
        </w:rPr>
        <w:t xml:space="preserve"> edilebilmesi beklen</w:t>
      </w:r>
      <w:r w:rsidRPr="001F447B">
        <w:rPr>
          <w:rFonts w:ascii="Times New Roman" w:hAnsi="Times New Roman" w:cs="Times New Roman"/>
          <w:sz w:val="24"/>
          <w:szCs w:val="24"/>
        </w:rPr>
        <w:t>ebilir</w:t>
      </w:r>
      <w:r w:rsidRPr="002C793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Ekstrapolasyon</w:t>
      </w:r>
      <w:proofErr w:type="spellEnd"/>
      <w:r>
        <w:rPr>
          <w:rFonts w:ascii="Times New Roman" w:hAnsi="Times New Roman" w:cs="Times New Roman"/>
          <w:sz w:val="24"/>
          <w:szCs w:val="24"/>
        </w:rPr>
        <w:t xml:space="preserve"> istenilen </w:t>
      </w:r>
      <w:r w:rsidRPr="00DD0050">
        <w:rPr>
          <w:rFonts w:ascii="Times New Roman" w:hAnsi="Times New Roman" w:cs="Times New Roman"/>
          <w:sz w:val="24"/>
          <w:szCs w:val="24"/>
        </w:rPr>
        <w:t xml:space="preserve">her bir </w:t>
      </w:r>
      <w:proofErr w:type="spellStart"/>
      <w:r w:rsidRPr="00DD0050">
        <w:rPr>
          <w:rFonts w:ascii="Times New Roman" w:hAnsi="Times New Roman" w:cs="Times New Roman"/>
          <w:sz w:val="24"/>
          <w:szCs w:val="24"/>
        </w:rPr>
        <w:t>endikasyon</w:t>
      </w:r>
      <w:proofErr w:type="spellEnd"/>
      <w:r w:rsidRPr="00DD0050">
        <w:rPr>
          <w:rFonts w:ascii="Times New Roman" w:hAnsi="Times New Roman" w:cs="Times New Roman"/>
          <w:sz w:val="24"/>
          <w:szCs w:val="24"/>
        </w:rPr>
        <w:t xml:space="preserve"> için</w:t>
      </w:r>
      <w:r>
        <w:rPr>
          <w:rFonts w:ascii="Times New Roman" w:hAnsi="Times New Roman" w:cs="Times New Roman"/>
          <w:sz w:val="24"/>
          <w:szCs w:val="24"/>
        </w:rPr>
        <w:t>;</w:t>
      </w:r>
      <w:r w:rsidRPr="00DD0050">
        <w:rPr>
          <w:rFonts w:ascii="Times New Roman" w:hAnsi="Times New Roman" w:cs="Times New Roman"/>
          <w:sz w:val="24"/>
          <w:szCs w:val="24"/>
        </w:rPr>
        <w:t xml:space="preserve"> ürünün etki mekanizmasını/mekanizmalarını, güvenlilik </w:t>
      </w:r>
      <w:proofErr w:type="gramStart"/>
      <w:r w:rsidRPr="00DD0050">
        <w:rPr>
          <w:rFonts w:ascii="Times New Roman" w:hAnsi="Times New Roman" w:cs="Times New Roman"/>
          <w:sz w:val="24"/>
          <w:szCs w:val="24"/>
        </w:rPr>
        <w:t>profilini</w:t>
      </w:r>
      <w:proofErr w:type="gramEnd"/>
      <w:r w:rsidRPr="00DD0050">
        <w:rPr>
          <w:rFonts w:ascii="Times New Roman" w:hAnsi="Times New Roman" w:cs="Times New Roman"/>
          <w:sz w:val="24"/>
          <w:szCs w:val="24"/>
        </w:rPr>
        <w:t>, dozaj rejimini, referans ürün ile mevcut klinik deneyimi</w:t>
      </w:r>
      <w:r>
        <w:rPr>
          <w:rFonts w:ascii="Times New Roman" w:hAnsi="Times New Roman" w:cs="Times New Roman"/>
          <w:sz w:val="24"/>
          <w:szCs w:val="24"/>
        </w:rPr>
        <w:t xml:space="preserve"> ve </w:t>
      </w:r>
      <w:r w:rsidRPr="00DD0050">
        <w:rPr>
          <w:rFonts w:ascii="Times New Roman" w:hAnsi="Times New Roman" w:cs="Times New Roman"/>
          <w:sz w:val="24"/>
          <w:szCs w:val="24"/>
        </w:rPr>
        <w:t xml:space="preserve">ilgili </w:t>
      </w:r>
      <w:proofErr w:type="spellStart"/>
      <w:r>
        <w:rPr>
          <w:rFonts w:ascii="Times New Roman" w:hAnsi="Times New Roman" w:cs="Times New Roman"/>
          <w:sz w:val="24"/>
          <w:szCs w:val="24"/>
        </w:rPr>
        <w:t>endikasyonda</w:t>
      </w:r>
      <w:proofErr w:type="spellEnd"/>
      <w:r>
        <w:rPr>
          <w:rFonts w:ascii="Times New Roman" w:hAnsi="Times New Roman" w:cs="Times New Roman"/>
          <w:sz w:val="24"/>
          <w:szCs w:val="24"/>
        </w:rPr>
        <w:t xml:space="preserve"> geçerli </w:t>
      </w:r>
      <w:proofErr w:type="spellStart"/>
      <w:r w:rsidRPr="00DD0050">
        <w:rPr>
          <w:rFonts w:ascii="Times New Roman" w:hAnsi="Times New Roman" w:cs="Times New Roman"/>
          <w:sz w:val="24"/>
          <w:szCs w:val="24"/>
        </w:rPr>
        <w:t>patofizyolojik</w:t>
      </w:r>
      <w:proofErr w:type="spellEnd"/>
      <w:r w:rsidRPr="00DD0050">
        <w:rPr>
          <w:rFonts w:ascii="Times New Roman" w:hAnsi="Times New Roman" w:cs="Times New Roman"/>
          <w:sz w:val="24"/>
          <w:szCs w:val="24"/>
        </w:rPr>
        <w:t xml:space="preserve"> mekanizma/mekanizmaları</w:t>
      </w:r>
      <w:r>
        <w:rPr>
          <w:rFonts w:ascii="Times New Roman" w:hAnsi="Times New Roman" w:cs="Times New Roman"/>
          <w:sz w:val="24"/>
          <w:szCs w:val="24"/>
        </w:rPr>
        <w:t xml:space="preserve"> </w:t>
      </w:r>
      <w:proofErr w:type="spellStart"/>
      <w:r w:rsidRPr="00DD0050">
        <w:rPr>
          <w:rFonts w:ascii="Times New Roman" w:hAnsi="Times New Roman" w:cs="Times New Roman"/>
          <w:sz w:val="24"/>
          <w:szCs w:val="24"/>
        </w:rPr>
        <w:t>gözönünde</w:t>
      </w:r>
      <w:proofErr w:type="spellEnd"/>
      <w:r w:rsidRPr="00DD0050">
        <w:rPr>
          <w:rFonts w:ascii="Times New Roman" w:hAnsi="Times New Roman" w:cs="Times New Roman"/>
          <w:sz w:val="24"/>
          <w:szCs w:val="24"/>
        </w:rPr>
        <w:t xml:space="preserve"> bulundurarak hazırlanan bilimsel bir gerekçelendirme sunulmalıdır</w:t>
      </w:r>
      <w:r>
        <w:rPr>
          <w:rFonts w:ascii="Times New Roman" w:hAnsi="Times New Roman" w:cs="Times New Roman"/>
          <w:sz w:val="24"/>
          <w:szCs w:val="24"/>
        </w:rPr>
        <w:t xml:space="preserve">. Ayrıca </w:t>
      </w:r>
      <w:proofErr w:type="spellStart"/>
      <w:r>
        <w:rPr>
          <w:rFonts w:ascii="Times New Roman" w:hAnsi="Times New Roman" w:cs="Times New Roman"/>
          <w:sz w:val="24"/>
          <w:szCs w:val="24"/>
        </w:rPr>
        <w:t>i</w:t>
      </w:r>
      <w:r w:rsidRPr="002C7935">
        <w:rPr>
          <w:rFonts w:ascii="Times New Roman" w:hAnsi="Times New Roman" w:cs="Times New Roman"/>
          <w:sz w:val="24"/>
          <w:szCs w:val="24"/>
        </w:rPr>
        <w:t>mmünojenisitenin</w:t>
      </w:r>
      <w:proofErr w:type="spellEnd"/>
      <w:r w:rsidRPr="002C7935">
        <w:rPr>
          <w:rFonts w:ascii="Times New Roman" w:hAnsi="Times New Roman" w:cs="Times New Roman"/>
          <w:sz w:val="24"/>
          <w:szCs w:val="24"/>
        </w:rPr>
        <w:t xml:space="preserve">, çalışılan </w:t>
      </w:r>
      <w:proofErr w:type="spellStart"/>
      <w:r w:rsidRPr="002C7935">
        <w:rPr>
          <w:rFonts w:ascii="Times New Roman" w:hAnsi="Times New Roman" w:cs="Times New Roman"/>
          <w:sz w:val="24"/>
          <w:szCs w:val="24"/>
        </w:rPr>
        <w:t>endikasyondan</w:t>
      </w:r>
      <w:proofErr w:type="spellEnd"/>
      <w:r>
        <w:rPr>
          <w:rFonts w:ascii="Times New Roman" w:hAnsi="Times New Roman" w:cs="Times New Roman"/>
          <w:sz w:val="24"/>
          <w:szCs w:val="24"/>
        </w:rPr>
        <w:t xml:space="preserve"> </w:t>
      </w:r>
      <w:r w:rsidRPr="002C7935">
        <w:rPr>
          <w:rFonts w:ascii="Times New Roman" w:hAnsi="Times New Roman" w:cs="Times New Roman"/>
          <w:sz w:val="24"/>
          <w:szCs w:val="24"/>
        </w:rPr>
        <w:t xml:space="preserve">/ uygulama yolundan, </w:t>
      </w:r>
      <w:r>
        <w:rPr>
          <w:rFonts w:ascii="Times New Roman" w:hAnsi="Times New Roman" w:cs="Times New Roman"/>
          <w:sz w:val="24"/>
          <w:szCs w:val="24"/>
        </w:rPr>
        <w:t>d</w:t>
      </w:r>
      <w:r w:rsidRPr="002C7935">
        <w:rPr>
          <w:rFonts w:ascii="Times New Roman" w:hAnsi="Times New Roman" w:cs="Times New Roman"/>
          <w:sz w:val="24"/>
          <w:szCs w:val="24"/>
        </w:rPr>
        <w:t>iğer</w:t>
      </w:r>
      <w:r>
        <w:rPr>
          <w:rFonts w:ascii="Times New Roman" w:hAnsi="Times New Roman" w:cs="Times New Roman"/>
          <w:sz w:val="24"/>
          <w:szCs w:val="24"/>
        </w:rPr>
        <w:t xml:space="preserve"> </w:t>
      </w:r>
      <w:proofErr w:type="spellStart"/>
      <w:r>
        <w:rPr>
          <w:rFonts w:ascii="Times New Roman" w:hAnsi="Times New Roman" w:cs="Times New Roman"/>
          <w:sz w:val="24"/>
          <w:szCs w:val="24"/>
        </w:rPr>
        <w:t>endikasyonlara</w:t>
      </w:r>
      <w:proofErr w:type="spellEnd"/>
      <w:r>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ekstrapolasyonu</w:t>
      </w:r>
      <w:r>
        <w:rPr>
          <w:rFonts w:ascii="Times New Roman" w:hAnsi="Times New Roman" w:cs="Times New Roman"/>
          <w:sz w:val="24"/>
          <w:szCs w:val="24"/>
        </w:rPr>
        <w:t>nun</w:t>
      </w:r>
      <w:proofErr w:type="spellEnd"/>
      <w:r>
        <w:rPr>
          <w:rFonts w:ascii="Times New Roman" w:hAnsi="Times New Roman" w:cs="Times New Roman"/>
          <w:sz w:val="24"/>
          <w:szCs w:val="24"/>
        </w:rPr>
        <w:t xml:space="preserve"> da </w:t>
      </w:r>
      <w:r w:rsidRPr="002C7935">
        <w:rPr>
          <w:rFonts w:ascii="Times New Roman" w:hAnsi="Times New Roman" w:cs="Times New Roman"/>
          <w:sz w:val="24"/>
          <w:szCs w:val="24"/>
        </w:rPr>
        <w:t>gerekçelendirilme</w:t>
      </w:r>
      <w:r>
        <w:rPr>
          <w:rFonts w:ascii="Times New Roman" w:hAnsi="Times New Roman" w:cs="Times New Roman"/>
          <w:sz w:val="24"/>
          <w:szCs w:val="24"/>
        </w:rPr>
        <w:t>si istenilecektir</w:t>
      </w:r>
      <w:r w:rsidRPr="002C7935">
        <w:rPr>
          <w:rFonts w:ascii="Times New Roman" w:hAnsi="Times New Roman" w:cs="Times New Roman"/>
          <w:sz w:val="24"/>
          <w:szCs w:val="24"/>
        </w:rPr>
        <w:t>.</w:t>
      </w:r>
      <w:r>
        <w:rPr>
          <w:rFonts w:ascii="Times New Roman" w:hAnsi="Times New Roman" w:cs="Times New Roman"/>
          <w:sz w:val="24"/>
          <w:szCs w:val="24"/>
        </w:rPr>
        <w:t xml:space="preserve"> </w:t>
      </w:r>
      <w:r w:rsidRPr="002C7935">
        <w:rPr>
          <w:rFonts w:ascii="Times New Roman" w:hAnsi="Times New Roman" w:cs="Times New Roman"/>
          <w:sz w:val="24"/>
          <w:szCs w:val="24"/>
        </w:rPr>
        <w:t xml:space="preserve">Aşağıda belirtilen durumlarda </w:t>
      </w:r>
      <w:r>
        <w:rPr>
          <w:rFonts w:ascii="Times New Roman" w:hAnsi="Times New Roman" w:cs="Times New Roman"/>
          <w:sz w:val="24"/>
          <w:szCs w:val="24"/>
        </w:rPr>
        <w:t xml:space="preserve">ise </w:t>
      </w:r>
      <w:r w:rsidRPr="002C7935">
        <w:rPr>
          <w:rFonts w:ascii="Times New Roman" w:hAnsi="Times New Roman" w:cs="Times New Roman"/>
          <w:sz w:val="24"/>
          <w:szCs w:val="24"/>
        </w:rPr>
        <w:t>ilave veriler gereklidir.</w:t>
      </w:r>
    </w:p>
    <w:p w14:paraId="041AD22E" w14:textId="79D898D7" w:rsidR="00336B38" w:rsidRPr="00117FD5" w:rsidRDefault="00336B38" w:rsidP="00117FD5">
      <w:pPr>
        <w:pStyle w:val="ListeParagraf"/>
        <w:numPr>
          <w:ilvl w:val="0"/>
          <w:numId w:val="45"/>
        </w:numPr>
        <w:ind w:right="-567"/>
        <w:jc w:val="both"/>
        <w:rPr>
          <w:rFonts w:ascii="Times New Roman" w:hAnsi="Times New Roman" w:cs="Times New Roman"/>
          <w:sz w:val="24"/>
          <w:szCs w:val="24"/>
        </w:rPr>
      </w:pPr>
      <w:r w:rsidRPr="00117FD5">
        <w:rPr>
          <w:rFonts w:ascii="Times New Roman" w:hAnsi="Times New Roman" w:cs="Times New Roman"/>
          <w:sz w:val="24"/>
          <w:szCs w:val="24"/>
        </w:rPr>
        <w:t xml:space="preserve">Referans tıbbi ürünün etkin maddesi, test edilen ve test edilmeyen </w:t>
      </w:r>
      <w:proofErr w:type="spellStart"/>
      <w:r w:rsidRPr="00117FD5">
        <w:rPr>
          <w:rFonts w:ascii="Times New Roman" w:hAnsi="Times New Roman" w:cs="Times New Roman"/>
          <w:sz w:val="24"/>
          <w:szCs w:val="24"/>
        </w:rPr>
        <w:t>terapötik</w:t>
      </w:r>
      <w:proofErr w:type="spellEnd"/>
      <w:r w:rsidRPr="00117FD5">
        <w:rPr>
          <w:rFonts w:ascii="Times New Roman" w:hAnsi="Times New Roman" w:cs="Times New Roman"/>
          <w:sz w:val="24"/>
          <w:szCs w:val="24"/>
        </w:rPr>
        <w:t xml:space="preserve"> </w:t>
      </w:r>
      <w:proofErr w:type="spellStart"/>
      <w:r w:rsidRPr="00117FD5">
        <w:rPr>
          <w:rFonts w:ascii="Times New Roman" w:hAnsi="Times New Roman" w:cs="Times New Roman"/>
          <w:sz w:val="24"/>
          <w:szCs w:val="24"/>
        </w:rPr>
        <w:t>endikasyonlarda</w:t>
      </w:r>
      <w:proofErr w:type="spellEnd"/>
      <w:r w:rsidRPr="00117FD5">
        <w:rPr>
          <w:rFonts w:ascii="Times New Roman" w:hAnsi="Times New Roman" w:cs="Times New Roman"/>
          <w:sz w:val="24"/>
          <w:szCs w:val="24"/>
        </w:rPr>
        <w:t xml:space="preserve"> farklı etkilere sahip birden fazla reseptör ile etkileşebilmektedir.</w:t>
      </w:r>
    </w:p>
    <w:p w14:paraId="13FDD6F3" w14:textId="1AAB562B" w:rsidR="00336B38" w:rsidRPr="00117FD5" w:rsidRDefault="00336B38" w:rsidP="00117FD5">
      <w:pPr>
        <w:pStyle w:val="ListeParagraf"/>
        <w:numPr>
          <w:ilvl w:val="0"/>
          <w:numId w:val="45"/>
        </w:numPr>
        <w:ind w:right="-567"/>
        <w:jc w:val="both"/>
        <w:rPr>
          <w:rFonts w:ascii="Times New Roman" w:hAnsi="Times New Roman" w:cs="Times New Roman"/>
          <w:sz w:val="24"/>
          <w:szCs w:val="24"/>
        </w:rPr>
      </w:pPr>
      <w:r w:rsidRPr="00117FD5">
        <w:rPr>
          <w:rFonts w:ascii="Times New Roman" w:hAnsi="Times New Roman" w:cs="Times New Roman"/>
          <w:sz w:val="24"/>
          <w:szCs w:val="24"/>
        </w:rPr>
        <w:t xml:space="preserve">Etkin maddenin kendisi birden fazla aktif bölgeye sahiptir ve bu aktif bölgeler farklı </w:t>
      </w:r>
      <w:proofErr w:type="spellStart"/>
      <w:r w:rsidRPr="00117FD5">
        <w:rPr>
          <w:rFonts w:ascii="Times New Roman" w:hAnsi="Times New Roman" w:cs="Times New Roman"/>
          <w:sz w:val="24"/>
          <w:szCs w:val="24"/>
        </w:rPr>
        <w:t>endikasyonlarda</w:t>
      </w:r>
      <w:proofErr w:type="spellEnd"/>
      <w:r w:rsidRPr="00117FD5">
        <w:rPr>
          <w:rFonts w:ascii="Times New Roman" w:hAnsi="Times New Roman" w:cs="Times New Roman"/>
          <w:sz w:val="24"/>
          <w:szCs w:val="24"/>
        </w:rPr>
        <w:t xml:space="preserve"> farklı öneme sahip olabilmektedir.</w:t>
      </w:r>
    </w:p>
    <w:p w14:paraId="0C2BF083" w14:textId="5F4F4CB2" w:rsidR="00336B38" w:rsidRPr="00117FD5" w:rsidRDefault="00336B38" w:rsidP="00117FD5">
      <w:pPr>
        <w:pStyle w:val="ListeParagraf"/>
        <w:numPr>
          <w:ilvl w:val="0"/>
          <w:numId w:val="45"/>
        </w:numPr>
        <w:ind w:right="-567"/>
        <w:jc w:val="both"/>
        <w:rPr>
          <w:rFonts w:ascii="Times New Roman" w:hAnsi="Times New Roman" w:cs="Times New Roman"/>
          <w:sz w:val="24"/>
          <w:szCs w:val="24"/>
        </w:rPr>
      </w:pPr>
      <w:r w:rsidRPr="00117FD5">
        <w:rPr>
          <w:rFonts w:ascii="Times New Roman" w:hAnsi="Times New Roman" w:cs="Times New Roman"/>
          <w:sz w:val="24"/>
          <w:szCs w:val="24"/>
        </w:rPr>
        <w:t xml:space="preserve">Benzerliğin gösterildiği </w:t>
      </w:r>
      <w:proofErr w:type="spellStart"/>
      <w:r w:rsidRPr="00117FD5">
        <w:rPr>
          <w:rFonts w:ascii="Times New Roman" w:hAnsi="Times New Roman" w:cs="Times New Roman"/>
          <w:sz w:val="24"/>
          <w:szCs w:val="24"/>
        </w:rPr>
        <w:t>endikasyon</w:t>
      </w:r>
      <w:proofErr w:type="spellEnd"/>
      <w:r w:rsidRPr="00117FD5">
        <w:rPr>
          <w:rFonts w:ascii="Times New Roman" w:hAnsi="Times New Roman" w:cs="Times New Roman"/>
          <w:sz w:val="24"/>
          <w:szCs w:val="24"/>
        </w:rPr>
        <w:t xml:space="preserve">, etkililik veya güvenlilik açısından diğer </w:t>
      </w:r>
      <w:proofErr w:type="spellStart"/>
      <w:r w:rsidRPr="00117FD5">
        <w:rPr>
          <w:rFonts w:ascii="Times New Roman" w:hAnsi="Times New Roman" w:cs="Times New Roman"/>
          <w:sz w:val="24"/>
          <w:szCs w:val="24"/>
        </w:rPr>
        <w:t>endikasyonları</w:t>
      </w:r>
      <w:proofErr w:type="spellEnd"/>
      <w:r w:rsidRPr="00117FD5">
        <w:rPr>
          <w:rFonts w:ascii="Times New Roman" w:hAnsi="Times New Roman" w:cs="Times New Roman"/>
          <w:sz w:val="24"/>
          <w:szCs w:val="24"/>
        </w:rPr>
        <w:t xml:space="preserve"> temsil etmemektedir</w:t>
      </w:r>
      <w:r w:rsidR="00221BED">
        <w:rPr>
          <w:rFonts w:ascii="Times New Roman" w:hAnsi="Times New Roman" w:cs="Times New Roman"/>
          <w:sz w:val="24"/>
          <w:szCs w:val="24"/>
        </w:rPr>
        <w:t>. Ö</w:t>
      </w:r>
      <w:r w:rsidRPr="00117FD5">
        <w:rPr>
          <w:rFonts w:ascii="Times New Roman" w:hAnsi="Times New Roman" w:cs="Times New Roman"/>
          <w:sz w:val="24"/>
          <w:szCs w:val="24"/>
        </w:rPr>
        <w:t xml:space="preserve">rneğin, çalışılan </w:t>
      </w:r>
      <w:proofErr w:type="spellStart"/>
      <w:r w:rsidRPr="00117FD5">
        <w:rPr>
          <w:rFonts w:ascii="Times New Roman" w:hAnsi="Times New Roman" w:cs="Times New Roman"/>
          <w:sz w:val="24"/>
          <w:szCs w:val="24"/>
        </w:rPr>
        <w:t>endikasyon</w:t>
      </w:r>
      <w:proofErr w:type="spellEnd"/>
      <w:r w:rsidRPr="00117FD5">
        <w:rPr>
          <w:rFonts w:ascii="Times New Roman" w:hAnsi="Times New Roman" w:cs="Times New Roman"/>
          <w:sz w:val="24"/>
          <w:szCs w:val="24"/>
        </w:rPr>
        <w:t xml:space="preserve"> etkililik ve güvenlilik farklılıklarını biyolojik tıbbi ürünün tüm </w:t>
      </w:r>
      <w:proofErr w:type="spellStart"/>
      <w:r w:rsidRPr="00117FD5">
        <w:rPr>
          <w:rFonts w:ascii="Times New Roman" w:hAnsi="Times New Roman" w:cs="Times New Roman"/>
          <w:sz w:val="24"/>
          <w:szCs w:val="24"/>
        </w:rPr>
        <w:t>endikasyonlarında</w:t>
      </w:r>
      <w:proofErr w:type="spellEnd"/>
      <w:r w:rsidRPr="00117FD5">
        <w:rPr>
          <w:rFonts w:ascii="Times New Roman" w:hAnsi="Times New Roman" w:cs="Times New Roman"/>
          <w:sz w:val="24"/>
          <w:szCs w:val="24"/>
        </w:rPr>
        <w:t xml:space="preserve"> belirlemek için yeterli duyarlıkta değildir.   </w:t>
      </w:r>
    </w:p>
    <w:p w14:paraId="0CB688F7" w14:textId="796C4633"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w:t>
      </w:r>
      <w:r>
        <w:rPr>
          <w:rFonts w:ascii="Times New Roman" w:hAnsi="Times New Roman" w:cs="Times New Roman"/>
          <w:sz w:val="24"/>
          <w:szCs w:val="24"/>
        </w:rPr>
        <w:t>3</w:t>
      </w:r>
      <w:r w:rsidRPr="002C7935">
        <w:rPr>
          <w:rFonts w:ascii="Times New Roman" w:hAnsi="Times New Roman" w:cs="Times New Roman"/>
          <w:sz w:val="24"/>
          <w:szCs w:val="24"/>
        </w:rPr>
        <w:t xml:space="preserve">) </w:t>
      </w:r>
      <w:proofErr w:type="spellStart"/>
      <w:r w:rsidRPr="002C7935">
        <w:rPr>
          <w:rFonts w:ascii="Times New Roman" w:hAnsi="Times New Roman" w:cs="Times New Roman"/>
          <w:sz w:val="24"/>
          <w:szCs w:val="24"/>
        </w:rPr>
        <w:t>İmmünojenisite</w:t>
      </w:r>
      <w:proofErr w:type="spellEnd"/>
      <w:r w:rsidRPr="002C7935">
        <w:rPr>
          <w:rFonts w:ascii="Times New Roman" w:hAnsi="Times New Roman" w:cs="Times New Roman"/>
          <w:sz w:val="24"/>
          <w:szCs w:val="24"/>
        </w:rPr>
        <w:t xml:space="preserve">; uygulama yolu, </w:t>
      </w:r>
      <w:proofErr w:type="spellStart"/>
      <w:r w:rsidRPr="002C7935">
        <w:rPr>
          <w:rFonts w:ascii="Times New Roman" w:hAnsi="Times New Roman" w:cs="Times New Roman"/>
          <w:sz w:val="24"/>
          <w:szCs w:val="24"/>
        </w:rPr>
        <w:t>dozlama</w:t>
      </w:r>
      <w:proofErr w:type="spellEnd"/>
      <w:r w:rsidRPr="002C7935">
        <w:rPr>
          <w:rFonts w:ascii="Times New Roman" w:hAnsi="Times New Roman" w:cs="Times New Roman"/>
          <w:sz w:val="24"/>
          <w:szCs w:val="24"/>
        </w:rPr>
        <w:t xml:space="preserve"> rejimi, hasta ile ilgili faktörler ve hastalık ile ilgili faktörler </w:t>
      </w:r>
      <w:proofErr w:type="gramStart"/>
      <w:r w:rsidRPr="002C7935">
        <w:rPr>
          <w:rFonts w:ascii="Times New Roman" w:hAnsi="Times New Roman" w:cs="Times New Roman"/>
          <w:sz w:val="24"/>
          <w:szCs w:val="24"/>
        </w:rPr>
        <w:t>dahil</w:t>
      </w:r>
      <w:proofErr w:type="gramEnd"/>
      <w:r w:rsidRPr="002C7935">
        <w:rPr>
          <w:rFonts w:ascii="Times New Roman" w:hAnsi="Times New Roman" w:cs="Times New Roman"/>
          <w:sz w:val="24"/>
          <w:szCs w:val="24"/>
        </w:rPr>
        <w:t xml:space="preserve"> olmak üzere birden çok faktöre (örneğin; birlikte uygulanan ilaçlar, hastalığın tipi, bağışıklık durumu vb.) bağlıdır. </w:t>
      </w:r>
      <w:proofErr w:type="spellStart"/>
      <w:r>
        <w:rPr>
          <w:rFonts w:ascii="Times New Roman" w:hAnsi="Times New Roman" w:cs="Times New Roman"/>
          <w:sz w:val="24"/>
          <w:szCs w:val="24"/>
        </w:rPr>
        <w:t>İ</w:t>
      </w:r>
      <w:r w:rsidRPr="002C7935">
        <w:rPr>
          <w:rFonts w:ascii="Times New Roman" w:hAnsi="Times New Roman" w:cs="Times New Roman"/>
          <w:sz w:val="24"/>
          <w:szCs w:val="24"/>
        </w:rPr>
        <w:t>mmünojenisite</w:t>
      </w:r>
      <w:proofErr w:type="spellEnd"/>
      <w:r w:rsidRPr="002C7935">
        <w:rPr>
          <w:rFonts w:ascii="Times New Roman" w:hAnsi="Times New Roman" w:cs="Times New Roman"/>
          <w:sz w:val="24"/>
          <w:szCs w:val="24"/>
        </w:rPr>
        <w:t xml:space="preserve"> </w:t>
      </w:r>
      <w:r>
        <w:rPr>
          <w:rFonts w:ascii="Times New Roman" w:hAnsi="Times New Roman" w:cs="Times New Roman"/>
          <w:sz w:val="24"/>
          <w:szCs w:val="24"/>
        </w:rPr>
        <w:t xml:space="preserve">açısından çalışılan </w:t>
      </w:r>
      <w:proofErr w:type="spellStart"/>
      <w:r>
        <w:rPr>
          <w:rFonts w:ascii="Times New Roman" w:hAnsi="Times New Roman" w:cs="Times New Roman"/>
          <w:sz w:val="24"/>
          <w:szCs w:val="24"/>
        </w:rPr>
        <w:t>endikasyon</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ekstrapolasyon</w:t>
      </w:r>
      <w:proofErr w:type="spellEnd"/>
      <w:r>
        <w:rPr>
          <w:rFonts w:ascii="Times New Roman" w:hAnsi="Times New Roman" w:cs="Times New Roman"/>
          <w:sz w:val="24"/>
          <w:szCs w:val="24"/>
        </w:rPr>
        <w:t xml:space="preserve"> istenilen </w:t>
      </w:r>
      <w:proofErr w:type="spellStart"/>
      <w:r>
        <w:rPr>
          <w:rFonts w:ascii="Times New Roman" w:hAnsi="Times New Roman" w:cs="Times New Roman"/>
          <w:sz w:val="24"/>
          <w:szCs w:val="24"/>
        </w:rPr>
        <w:t>endikasyonlar</w:t>
      </w:r>
      <w:proofErr w:type="spellEnd"/>
      <w:r>
        <w:rPr>
          <w:rFonts w:ascii="Times New Roman" w:hAnsi="Times New Roman" w:cs="Times New Roman"/>
          <w:sz w:val="24"/>
          <w:szCs w:val="24"/>
        </w:rPr>
        <w:t xml:space="preserve"> arasında </w:t>
      </w:r>
      <w:r w:rsidRPr="002C7935">
        <w:rPr>
          <w:rFonts w:ascii="Times New Roman" w:hAnsi="Times New Roman" w:cs="Times New Roman"/>
          <w:sz w:val="24"/>
          <w:szCs w:val="24"/>
        </w:rPr>
        <w:t>farklılık</w:t>
      </w:r>
      <w:r>
        <w:rPr>
          <w:rFonts w:ascii="Times New Roman" w:hAnsi="Times New Roman" w:cs="Times New Roman"/>
          <w:sz w:val="24"/>
          <w:szCs w:val="24"/>
        </w:rPr>
        <w:t xml:space="preserve"> olma ihtimali görünmektedir.</w:t>
      </w:r>
    </w:p>
    <w:p w14:paraId="51B1281F" w14:textId="77777777" w:rsidR="00336B38" w:rsidRPr="002C7935" w:rsidRDefault="00336B38" w:rsidP="00336B38">
      <w:pPr>
        <w:ind w:right="-567"/>
        <w:jc w:val="both"/>
        <w:rPr>
          <w:rFonts w:ascii="Times New Roman" w:hAnsi="Times New Roman" w:cs="Times New Roman"/>
          <w:sz w:val="24"/>
          <w:szCs w:val="24"/>
        </w:rPr>
      </w:pPr>
    </w:p>
    <w:p w14:paraId="145D168A" w14:textId="77777777" w:rsidR="00336B38" w:rsidRPr="002C7935" w:rsidRDefault="00336B38" w:rsidP="00336B38">
      <w:pPr>
        <w:ind w:right="-567"/>
        <w:jc w:val="both"/>
        <w:rPr>
          <w:rFonts w:ascii="Times New Roman" w:hAnsi="Times New Roman" w:cs="Times New Roman"/>
          <w:b/>
          <w:sz w:val="24"/>
          <w:szCs w:val="24"/>
        </w:rPr>
      </w:pPr>
      <w:proofErr w:type="spellStart"/>
      <w:r w:rsidRPr="002C7935">
        <w:rPr>
          <w:rFonts w:ascii="Times New Roman" w:hAnsi="Times New Roman" w:cs="Times New Roman"/>
          <w:b/>
          <w:sz w:val="24"/>
          <w:szCs w:val="24"/>
        </w:rPr>
        <w:t>Farmakovijilans</w:t>
      </w:r>
      <w:proofErr w:type="spellEnd"/>
    </w:p>
    <w:p w14:paraId="5236677A"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b/>
          <w:sz w:val="24"/>
          <w:szCs w:val="24"/>
        </w:rPr>
        <w:t>MADDE 2</w:t>
      </w:r>
      <w:r>
        <w:rPr>
          <w:rFonts w:ascii="Times New Roman" w:hAnsi="Times New Roman" w:cs="Times New Roman"/>
          <w:b/>
          <w:sz w:val="24"/>
          <w:szCs w:val="24"/>
        </w:rPr>
        <w:t>4 -</w:t>
      </w:r>
      <w:r w:rsidRPr="002C7935">
        <w:rPr>
          <w:rFonts w:ascii="Times New Roman" w:hAnsi="Times New Roman" w:cs="Times New Roman"/>
          <w:sz w:val="24"/>
          <w:szCs w:val="24"/>
        </w:rPr>
        <w:t xml:space="preserve"> (1) Ruhsatlandırma öncesindeki klinik çalışmalardan elde edilen veriler, nadir görülen yan etkileri belirlemek için genellikle yetersizdir. Bu nedenle,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ürünlerin</w:t>
      </w:r>
      <w:r w:rsidRPr="002C7935">
        <w:rPr>
          <w:rFonts w:ascii="Times New Roman" w:hAnsi="Times New Roman" w:cs="Times New Roman"/>
          <w:sz w:val="24"/>
          <w:szCs w:val="24"/>
        </w:rPr>
        <w:t xml:space="preserve"> </w:t>
      </w:r>
      <w:r w:rsidRPr="002C7935">
        <w:rPr>
          <w:rFonts w:ascii="Times New Roman" w:hAnsi="Times New Roman" w:cs="Times New Roman"/>
          <w:sz w:val="24"/>
          <w:szCs w:val="24"/>
        </w:rPr>
        <w:lastRenderedPageBreak/>
        <w:t>klinik güvenliliği,</w:t>
      </w:r>
      <w:r w:rsidRPr="001F447B">
        <w:rPr>
          <w:rFonts w:ascii="Times New Roman" w:hAnsi="Times New Roman" w:cs="Times New Roman"/>
          <w:sz w:val="24"/>
          <w:szCs w:val="24"/>
        </w:rPr>
        <w:t xml:space="preserve"> </w:t>
      </w:r>
      <w:r w:rsidRPr="002C7935">
        <w:rPr>
          <w:rFonts w:ascii="Times New Roman" w:hAnsi="Times New Roman" w:cs="Times New Roman"/>
          <w:sz w:val="24"/>
          <w:szCs w:val="24"/>
        </w:rPr>
        <w:t>devam eden fayda-risk değerlendirmesini de kapsayacak şekilde, onay sonrasındaki aşamada devamlılık arz</w:t>
      </w:r>
      <w:r w:rsidRPr="001F447B">
        <w:rPr>
          <w:rFonts w:ascii="Times New Roman" w:hAnsi="Times New Roman" w:cs="Times New Roman"/>
          <w:sz w:val="24"/>
          <w:szCs w:val="24"/>
        </w:rPr>
        <w:t xml:space="preserve"> </w:t>
      </w:r>
      <w:r w:rsidRPr="002C7935">
        <w:rPr>
          <w:rFonts w:ascii="Times New Roman" w:hAnsi="Times New Roman" w:cs="Times New Roman"/>
          <w:sz w:val="24"/>
          <w:szCs w:val="24"/>
        </w:rPr>
        <w:t xml:space="preserve">eden biçimde yakın olarak izlenmelidir. </w:t>
      </w:r>
    </w:p>
    <w:p w14:paraId="0C2C87C5"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(2) Ruhsatlandırma </w:t>
      </w:r>
      <w:proofErr w:type="gramStart"/>
      <w:r w:rsidRPr="002C7935">
        <w:rPr>
          <w:rFonts w:ascii="Times New Roman" w:hAnsi="Times New Roman" w:cs="Times New Roman"/>
          <w:sz w:val="24"/>
          <w:szCs w:val="24"/>
        </w:rPr>
        <w:t>prosedürü</w:t>
      </w:r>
      <w:proofErr w:type="gramEnd"/>
      <w:r w:rsidRPr="002C7935">
        <w:rPr>
          <w:rFonts w:ascii="Times New Roman" w:hAnsi="Times New Roman" w:cs="Times New Roman"/>
          <w:sz w:val="24"/>
          <w:szCs w:val="24"/>
        </w:rPr>
        <w:t xml:space="preserve"> çerçevesinde başv</w:t>
      </w:r>
      <w:r w:rsidRPr="001F447B">
        <w:rPr>
          <w:rFonts w:ascii="Times New Roman" w:hAnsi="Times New Roman" w:cs="Times New Roman"/>
          <w:sz w:val="24"/>
          <w:szCs w:val="24"/>
        </w:rPr>
        <w:t xml:space="preserve">uru sahibi, </w:t>
      </w:r>
      <w:r w:rsidRPr="00C01A07">
        <w:rPr>
          <w:rFonts w:ascii="Times New Roman" w:hAnsi="Times New Roman" w:cs="Times New Roman"/>
          <w:sz w:val="24"/>
          <w:szCs w:val="24"/>
        </w:rPr>
        <w:t xml:space="preserve">ilgili güncel kılavuzlara </w:t>
      </w:r>
      <w:r w:rsidRPr="002C7935">
        <w:rPr>
          <w:rFonts w:ascii="Times New Roman" w:hAnsi="Times New Roman" w:cs="Times New Roman"/>
          <w:sz w:val="24"/>
          <w:szCs w:val="24"/>
        </w:rPr>
        <w:t xml:space="preserve">uygun olarak, </w:t>
      </w:r>
      <w:proofErr w:type="spellStart"/>
      <w:r w:rsidRPr="002C7935">
        <w:rPr>
          <w:rFonts w:ascii="Times New Roman" w:hAnsi="Times New Roman" w:cs="Times New Roman"/>
          <w:sz w:val="24"/>
          <w:szCs w:val="24"/>
        </w:rPr>
        <w:t>farmakovijilans</w:t>
      </w:r>
      <w:proofErr w:type="spellEnd"/>
      <w:r w:rsidRPr="002C7935">
        <w:rPr>
          <w:rFonts w:ascii="Times New Roman" w:hAnsi="Times New Roman" w:cs="Times New Roman"/>
          <w:sz w:val="24"/>
          <w:szCs w:val="24"/>
        </w:rPr>
        <w:t xml:space="preserve"> sistemi ve risk yönetim planının açıklamasını sunmalıdır. Risk yönetim planı, referans ürünün kullanımı ile ilişkili olan belirlenmiş ve potansiyel riskle</w:t>
      </w:r>
      <w:r w:rsidRPr="001F447B">
        <w:rPr>
          <w:rFonts w:ascii="Times New Roman" w:hAnsi="Times New Roman" w:cs="Times New Roman"/>
          <w:sz w:val="24"/>
          <w:szCs w:val="24"/>
        </w:rPr>
        <w:t>ri göz önünde bulundurmalıdır. B</w:t>
      </w:r>
      <w:r w:rsidRPr="002C7935">
        <w:rPr>
          <w:rFonts w:ascii="Times New Roman" w:hAnsi="Times New Roman" w:cs="Times New Roman"/>
          <w:sz w:val="24"/>
          <w:szCs w:val="24"/>
        </w:rPr>
        <w:t xml:space="preserve">u hususların pazarlama sonrasındaki takip döneminde nasıl ele alınacağını detaylandırmalıdır. </w:t>
      </w:r>
      <w:proofErr w:type="spellStart"/>
      <w:r w:rsidRPr="002C7935">
        <w:rPr>
          <w:rFonts w:ascii="Times New Roman" w:hAnsi="Times New Roman" w:cs="Times New Roman"/>
          <w:sz w:val="24"/>
          <w:szCs w:val="24"/>
        </w:rPr>
        <w:t>İmmünojenisite</w:t>
      </w:r>
      <w:proofErr w:type="spellEnd"/>
      <w:r w:rsidRPr="002C7935">
        <w:rPr>
          <w:rFonts w:ascii="Times New Roman" w:hAnsi="Times New Roman" w:cs="Times New Roman"/>
          <w:sz w:val="24"/>
          <w:szCs w:val="24"/>
        </w:rPr>
        <w:t xml:space="preserve">, bu bağlamda </w:t>
      </w:r>
      <w:r>
        <w:rPr>
          <w:rFonts w:ascii="Times New Roman" w:hAnsi="Times New Roman" w:cs="Times New Roman"/>
          <w:sz w:val="24"/>
          <w:szCs w:val="24"/>
        </w:rPr>
        <w:t>özgül</w:t>
      </w:r>
      <w:r w:rsidRPr="002C7935">
        <w:rPr>
          <w:rFonts w:ascii="Times New Roman" w:hAnsi="Times New Roman" w:cs="Times New Roman"/>
          <w:sz w:val="24"/>
          <w:szCs w:val="24"/>
        </w:rPr>
        <w:t xml:space="preserve"> olarak ele alınmalıdır.</w:t>
      </w:r>
    </w:p>
    <w:p w14:paraId="236138E1"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(3) Referans tıbbi ürün veya ürün sınıfına uygulanan herhangi bir </w:t>
      </w:r>
      <w:r>
        <w:rPr>
          <w:rFonts w:ascii="Times New Roman" w:hAnsi="Times New Roman" w:cs="Times New Roman"/>
          <w:sz w:val="24"/>
          <w:szCs w:val="24"/>
        </w:rPr>
        <w:t>özgül</w:t>
      </w:r>
      <w:r w:rsidRPr="002C7935">
        <w:rPr>
          <w:rFonts w:ascii="Times New Roman" w:hAnsi="Times New Roman" w:cs="Times New Roman"/>
          <w:sz w:val="24"/>
          <w:szCs w:val="24"/>
        </w:rPr>
        <w:t xml:space="preserve"> güvenlilik izlemesi,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ürünün </w:t>
      </w:r>
      <w:proofErr w:type="spellStart"/>
      <w:r w:rsidRPr="002C7935">
        <w:rPr>
          <w:rFonts w:ascii="Times New Roman" w:hAnsi="Times New Roman" w:cs="Times New Roman"/>
          <w:sz w:val="24"/>
          <w:szCs w:val="24"/>
        </w:rPr>
        <w:t>farmakovijilans</w:t>
      </w:r>
      <w:proofErr w:type="spellEnd"/>
      <w:r w:rsidRPr="002C7935">
        <w:rPr>
          <w:rFonts w:ascii="Times New Roman" w:hAnsi="Times New Roman" w:cs="Times New Roman"/>
          <w:sz w:val="24"/>
          <w:szCs w:val="24"/>
        </w:rPr>
        <w:t xml:space="preserve"> planında yeterli düzeyde ele alınmalıdır. Başvuru sahipleri, referans </w:t>
      </w:r>
      <w:r>
        <w:rPr>
          <w:rFonts w:ascii="Times New Roman" w:hAnsi="Times New Roman" w:cs="Times New Roman"/>
          <w:sz w:val="24"/>
          <w:szCs w:val="24"/>
        </w:rPr>
        <w:t xml:space="preserve">tıbbi </w:t>
      </w:r>
      <w:r w:rsidRPr="002C7935">
        <w:rPr>
          <w:rFonts w:ascii="Times New Roman" w:hAnsi="Times New Roman" w:cs="Times New Roman"/>
          <w:sz w:val="24"/>
          <w:szCs w:val="24"/>
        </w:rPr>
        <w:t>ürün için var</w:t>
      </w:r>
      <w:r w:rsidRPr="001F447B">
        <w:rPr>
          <w:rFonts w:ascii="Times New Roman" w:hAnsi="Times New Roman" w:cs="Times New Roman"/>
          <w:sz w:val="24"/>
          <w:szCs w:val="24"/>
        </w:rPr>
        <w:t xml:space="preserve"> </w:t>
      </w:r>
      <w:r w:rsidRPr="002C7935">
        <w:rPr>
          <w:rFonts w:ascii="Times New Roman" w:hAnsi="Times New Roman" w:cs="Times New Roman"/>
          <w:sz w:val="24"/>
          <w:szCs w:val="24"/>
        </w:rPr>
        <w:t xml:space="preserve">olan </w:t>
      </w:r>
      <w:proofErr w:type="spellStart"/>
      <w:r w:rsidRPr="002C7935">
        <w:rPr>
          <w:rFonts w:ascii="Times New Roman" w:hAnsi="Times New Roman" w:cs="Times New Roman"/>
          <w:sz w:val="24"/>
          <w:szCs w:val="24"/>
        </w:rPr>
        <w:t>farmakoepidemiyolojik</w:t>
      </w:r>
      <w:proofErr w:type="spellEnd"/>
      <w:r w:rsidRPr="002C7935">
        <w:rPr>
          <w:rFonts w:ascii="Times New Roman" w:hAnsi="Times New Roman" w:cs="Times New Roman"/>
          <w:sz w:val="24"/>
          <w:szCs w:val="24"/>
        </w:rPr>
        <w:t xml:space="preserve"> çalışmalara katılmaya teşvik edil</w:t>
      </w:r>
      <w:r w:rsidRPr="001F447B">
        <w:rPr>
          <w:rFonts w:ascii="Times New Roman" w:hAnsi="Times New Roman" w:cs="Times New Roman"/>
          <w:sz w:val="24"/>
          <w:szCs w:val="24"/>
        </w:rPr>
        <w:t>ir</w:t>
      </w:r>
      <w:r w:rsidRPr="002C7935">
        <w:rPr>
          <w:rFonts w:ascii="Times New Roman" w:hAnsi="Times New Roman" w:cs="Times New Roman"/>
          <w:sz w:val="24"/>
          <w:szCs w:val="24"/>
        </w:rPr>
        <w:t xml:space="preserve">. Bununla beraber, yeni çalışmaların başlatılması gerekebilir. Referans tıbbi ürün için gerçekleştirilen risk </w:t>
      </w:r>
      <w:proofErr w:type="spellStart"/>
      <w:r w:rsidRPr="002C7935">
        <w:rPr>
          <w:rFonts w:ascii="Times New Roman" w:hAnsi="Times New Roman" w:cs="Times New Roman"/>
          <w:sz w:val="24"/>
          <w:szCs w:val="24"/>
        </w:rPr>
        <w:t>minimizasyon</w:t>
      </w:r>
      <w:proofErr w:type="spellEnd"/>
      <w:r w:rsidRPr="002C7935">
        <w:rPr>
          <w:rFonts w:ascii="Times New Roman" w:hAnsi="Times New Roman" w:cs="Times New Roman"/>
          <w:sz w:val="24"/>
          <w:szCs w:val="24"/>
        </w:rPr>
        <w:t xml:space="preserve"> aktiviteleri, ilke olarak, ayrıca </w:t>
      </w:r>
      <w:proofErr w:type="spellStart"/>
      <w:r w:rsidRPr="002C7935">
        <w:rPr>
          <w:rFonts w:ascii="Times New Roman" w:hAnsi="Times New Roman" w:cs="Times New Roman"/>
          <w:sz w:val="24"/>
          <w:szCs w:val="24"/>
        </w:rPr>
        <w:t>biyobenzer</w:t>
      </w:r>
      <w:proofErr w:type="spellEnd"/>
      <w:r>
        <w:rPr>
          <w:rFonts w:ascii="Times New Roman" w:hAnsi="Times New Roman" w:cs="Times New Roman"/>
          <w:sz w:val="24"/>
          <w:szCs w:val="24"/>
        </w:rPr>
        <w:t xml:space="preserve"> tıbbi ürünün</w:t>
      </w:r>
      <w:r w:rsidRPr="002C7935">
        <w:rPr>
          <w:rFonts w:ascii="Times New Roman" w:hAnsi="Times New Roman" w:cs="Times New Roman"/>
          <w:sz w:val="24"/>
          <w:szCs w:val="24"/>
        </w:rPr>
        <w:t xml:space="preserve"> risk yönetim programına da </w:t>
      </w:r>
      <w:proofErr w:type="gramStart"/>
      <w:r w:rsidRPr="002C7935">
        <w:rPr>
          <w:rFonts w:ascii="Times New Roman" w:hAnsi="Times New Roman" w:cs="Times New Roman"/>
          <w:sz w:val="24"/>
          <w:szCs w:val="24"/>
        </w:rPr>
        <w:t>dahil</w:t>
      </w:r>
      <w:proofErr w:type="gramEnd"/>
      <w:r w:rsidRPr="002C7935">
        <w:rPr>
          <w:rFonts w:ascii="Times New Roman" w:hAnsi="Times New Roman" w:cs="Times New Roman"/>
          <w:sz w:val="24"/>
          <w:szCs w:val="24"/>
        </w:rPr>
        <w:t xml:space="preserve"> edilmelidir. Bu durumdan herhangi bir sapma (</w:t>
      </w:r>
      <w:proofErr w:type="spellStart"/>
      <w:r w:rsidRPr="002C7935">
        <w:rPr>
          <w:rFonts w:ascii="Times New Roman" w:hAnsi="Times New Roman" w:cs="Times New Roman"/>
          <w:sz w:val="24"/>
          <w:szCs w:val="24"/>
        </w:rPr>
        <w:t>örn</w:t>
      </w:r>
      <w:proofErr w:type="spellEnd"/>
      <w:r w:rsidRPr="001F447B">
        <w:rPr>
          <w:rFonts w:ascii="Times New Roman" w:hAnsi="Times New Roman" w:cs="Times New Roman"/>
          <w:sz w:val="24"/>
          <w:szCs w:val="24"/>
        </w:rPr>
        <w:t xml:space="preserve">. </w:t>
      </w:r>
      <w:r w:rsidRPr="002C7935">
        <w:rPr>
          <w:rFonts w:ascii="Times New Roman" w:hAnsi="Times New Roman" w:cs="Times New Roman"/>
          <w:sz w:val="24"/>
          <w:szCs w:val="24"/>
        </w:rPr>
        <w:t xml:space="preserve">risk </w:t>
      </w:r>
      <w:proofErr w:type="spellStart"/>
      <w:r w:rsidRPr="002C7935">
        <w:rPr>
          <w:rFonts w:ascii="Times New Roman" w:hAnsi="Times New Roman" w:cs="Times New Roman"/>
          <w:sz w:val="24"/>
          <w:szCs w:val="24"/>
        </w:rPr>
        <w:t>minimizasyonu</w:t>
      </w:r>
      <w:proofErr w:type="spellEnd"/>
      <w:r w:rsidRPr="002C7935">
        <w:rPr>
          <w:rFonts w:ascii="Times New Roman" w:hAnsi="Times New Roman" w:cs="Times New Roman"/>
          <w:sz w:val="24"/>
          <w:szCs w:val="24"/>
        </w:rPr>
        <w:t xml:space="preserve"> referans </w:t>
      </w:r>
      <w:r w:rsidRPr="001F447B">
        <w:rPr>
          <w:rFonts w:ascii="Times New Roman" w:hAnsi="Times New Roman" w:cs="Times New Roman"/>
          <w:sz w:val="24"/>
          <w:szCs w:val="24"/>
        </w:rPr>
        <w:t xml:space="preserve">tıbbi </w:t>
      </w:r>
      <w:r w:rsidRPr="002C7935">
        <w:rPr>
          <w:rFonts w:ascii="Times New Roman" w:hAnsi="Times New Roman" w:cs="Times New Roman"/>
          <w:sz w:val="24"/>
          <w:szCs w:val="24"/>
        </w:rPr>
        <w:t>ürünle birlikte kullanılan cihaz ile ilişkili ise) gerekçelendirilmelidir.</w:t>
      </w:r>
    </w:p>
    <w:p w14:paraId="63CFDEF0" w14:textId="77777777" w:rsidR="00336B38" w:rsidRPr="002C7935" w:rsidRDefault="00336B38" w:rsidP="00336B38">
      <w:pPr>
        <w:ind w:right="-567"/>
        <w:jc w:val="both"/>
        <w:rPr>
          <w:rFonts w:ascii="Times New Roman" w:hAnsi="Times New Roman" w:cs="Times New Roman"/>
          <w:sz w:val="24"/>
          <w:szCs w:val="24"/>
        </w:rPr>
      </w:pPr>
      <w:r w:rsidRPr="002C7935">
        <w:rPr>
          <w:rFonts w:ascii="Times New Roman" w:hAnsi="Times New Roman" w:cs="Times New Roman"/>
          <w:sz w:val="24"/>
          <w:szCs w:val="24"/>
        </w:rPr>
        <w:t xml:space="preserve">(4) Biyolojik tıbbi ürünler ile ilgili şüpheli </w:t>
      </w:r>
      <w:proofErr w:type="spellStart"/>
      <w:r w:rsidRPr="002C7935">
        <w:rPr>
          <w:rFonts w:ascii="Times New Roman" w:hAnsi="Times New Roman" w:cs="Times New Roman"/>
          <w:sz w:val="24"/>
          <w:szCs w:val="24"/>
        </w:rPr>
        <w:t>advers</w:t>
      </w:r>
      <w:proofErr w:type="spellEnd"/>
      <w:r w:rsidRPr="002C7935">
        <w:rPr>
          <w:rFonts w:ascii="Times New Roman" w:hAnsi="Times New Roman" w:cs="Times New Roman"/>
          <w:sz w:val="24"/>
          <w:szCs w:val="24"/>
        </w:rPr>
        <w:t xml:space="preserve"> reaksiyonlar için, ilgili ürünün üretim açısından kesin olarak tanımlanması özellikle önem taşımaktadır. Bu nedenle, markası ve seri numarası ile ilişkili, şüpheli bir </w:t>
      </w:r>
      <w:proofErr w:type="spellStart"/>
      <w:r w:rsidRPr="002C7935">
        <w:rPr>
          <w:rFonts w:ascii="Times New Roman" w:hAnsi="Times New Roman" w:cs="Times New Roman"/>
          <w:sz w:val="24"/>
          <w:szCs w:val="24"/>
        </w:rPr>
        <w:t>advers</w:t>
      </w:r>
      <w:proofErr w:type="spellEnd"/>
      <w:r w:rsidRPr="002C7935">
        <w:rPr>
          <w:rFonts w:ascii="Times New Roman" w:hAnsi="Times New Roman" w:cs="Times New Roman"/>
          <w:sz w:val="24"/>
          <w:szCs w:val="24"/>
        </w:rPr>
        <w:t xml:space="preserve"> reaksiyon bildirimine konu olan herhangi bir biyolojik tıbbi ürünü açık bir şekilde tanımlamak için tüm uygun önlemler alınmalıdır.</w:t>
      </w:r>
    </w:p>
    <w:p w14:paraId="38A876CD" w14:textId="77777777" w:rsidR="00336B38" w:rsidRPr="002C7935" w:rsidRDefault="00336B38" w:rsidP="00336B38">
      <w:pPr>
        <w:spacing w:after="0" w:line="276" w:lineRule="auto"/>
        <w:jc w:val="both"/>
        <w:rPr>
          <w:rFonts w:ascii="Times New Roman" w:hAnsi="Times New Roman" w:cs="Times New Roman"/>
          <w:sz w:val="24"/>
          <w:szCs w:val="24"/>
        </w:rPr>
      </w:pPr>
    </w:p>
    <w:p w14:paraId="31E2799B" w14:textId="77777777" w:rsidR="00336B38" w:rsidRPr="002C7935" w:rsidRDefault="00336B38" w:rsidP="00336B38">
      <w:pPr>
        <w:spacing w:after="0" w:line="276" w:lineRule="auto"/>
        <w:jc w:val="both"/>
        <w:rPr>
          <w:rFonts w:ascii="Times New Roman" w:hAnsi="Times New Roman" w:cs="Times New Roman"/>
          <w:b/>
          <w:sz w:val="24"/>
          <w:szCs w:val="24"/>
        </w:rPr>
      </w:pPr>
      <w:r w:rsidRPr="002C7935">
        <w:rPr>
          <w:rFonts w:ascii="Times New Roman" w:hAnsi="Times New Roman" w:cs="Times New Roman"/>
          <w:b/>
          <w:sz w:val="24"/>
          <w:szCs w:val="24"/>
        </w:rPr>
        <w:t>İlgili Kılavuzlar</w:t>
      </w:r>
    </w:p>
    <w:p w14:paraId="585FEEB2" w14:textId="77777777" w:rsidR="00336B38" w:rsidRPr="002C7935" w:rsidRDefault="00336B38" w:rsidP="00336B38">
      <w:pPr>
        <w:spacing w:after="0" w:line="276" w:lineRule="auto"/>
        <w:jc w:val="both"/>
        <w:rPr>
          <w:rFonts w:ascii="Times New Roman" w:hAnsi="Times New Roman" w:cs="Times New Roman"/>
          <w:sz w:val="24"/>
          <w:szCs w:val="24"/>
        </w:rPr>
      </w:pPr>
    </w:p>
    <w:p w14:paraId="73551620" w14:textId="77777777" w:rsidR="00336B38" w:rsidRPr="001F447B" w:rsidRDefault="00336B38" w:rsidP="00336B38">
      <w:pPr>
        <w:jc w:val="both"/>
        <w:rPr>
          <w:rFonts w:ascii="Times New Roman" w:hAnsi="Times New Roman" w:cs="Times New Roman"/>
          <w:b/>
          <w:sz w:val="24"/>
          <w:szCs w:val="24"/>
        </w:rPr>
      </w:pPr>
      <w:r w:rsidRPr="002C7935">
        <w:rPr>
          <w:rFonts w:ascii="Times New Roman" w:hAnsi="Times New Roman" w:cs="Times New Roman"/>
          <w:b/>
          <w:color w:val="000000"/>
          <w:sz w:val="24"/>
          <w:szCs w:val="24"/>
        </w:rPr>
        <w:t>MADDE 2</w:t>
      </w:r>
      <w:r>
        <w:rPr>
          <w:rFonts w:ascii="Times New Roman" w:hAnsi="Times New Roman" w:cs="Times New Roman"/>
          <w:b/>
          <w:color w:val="000000"/>
          <w:sz w:val="24"/>
          <w:szCs w:val="24"/>
        </w:rPr>
        <w:t xml:space="preserve">5 </w:t>
      </w:r>
      <w:r w:rsidRPr="002C7935">
        <w:rPr>
          <w:rFonts w:ascii="Times New Roman" w:hAnsi="Times New Roman" w:cs="Times New Roman"/>
          <w:b/>
          <w:color w:val="000000"/>
          <w:sz w:val="24"/>
          <w:szCs w:val="24"/>
        </w:rPr>
        <w:t>-</w:t>
      </w:r>
      <w:r w:rsidRPr="002C7935">
        <w:rPr>
          <w:rFonts w:ascii="Times New Roman" w:hAnsi="Times New Roman" w:cs="Times New Roman"/>
          <w:color w:val="000000"/>
          <w:sz w:val="24"/>
          <w:szCs w:val="24"/>
        </w:rPr>
        <w:t xml:space="preserve"> </w:t>
      </w:r>
      <w:proofErr w:type="spellStart"/>
      <w:r w:rsidRPr="002C7935">
        <w:rPr>
          <w:rFonts w:ascii="Times New Roman" w:hAnsi="Times New Roman" w:cs="Times New Roman"/>
          <w:color w:val="000000"/>
          <w:sz w:val="24"/>
          <w:szCs w:val="24"/>
        </w:rPr>
        <w:t>Biyobenzer</w:t>
      </w:r>
      <w:proofErr w:type="spellEnd"/>
      <w:r w:rsidRPr="002C7935">
        <w:rPr>
          <w:rFonts w:ascii="Times New Roman" w:hAnsi="Times New Roman" w:cs="Times New Roman"/>
          <w:color w:val="000000"/>
          <w:sz w:val="24"/>
          <w:szCs w:val="24"/>
        </w:rPr>
        <w:t xml:space="preserve"> tıbbi ürünlerin </w:t>
      </w:r>
      <w:proofErr w:type="spellStart"/>
      <w:r w:rsidRPr="002C7935">
        <w:rPr>
          <w:rFonts w:ascii="Times New Roman" w:hAnsi="Times New Roman" w:cs="Times New Roman"/>
          <w:color w:val="000000"/>
          <w:sz w:val="24"/>
          <w:szCs w:val="24"/>
        </w:rPr>
        <w:t>geliştirilmesindeki</w:t>
      </w:r>
      <w:proofErr w:type="spellEnd"/>
      <w:r w:rsidRPr="002C7935">
        <w:rPr>
          <w:rFonts w:ascii="Times New Roman" w:hAnsi="Times New Roman" w:cs="Times New Roman"/>
          <w:color w:val="000000"/>
          <w:sz w:val="24"/>
          <w:szCs w:val="24"/>
        </w:rPr>
        <w:t xml:space="preserve"> kalite, klinik </w:t>
      </w:r>
      <w:proofErr w:type="spellStart"/>
      <w:r w:rsidRPr="002C7935">
        <w:rPr>
          <w:rFonts w:ascii="Times New Roman" w:hAnsi="Times New Roman" w:cs="Times New Roman"/>
          <w:color w:val="000000"/>
          <w:sz w:val="24"/>
          <w:szCs w:val="24"/>
        </w:rPr>
        <w:t>dışı</w:t>
      </w:r>
      <w:proofErr w:type="spellEnd"/>
      <w:r w:rsidRPr="002C7935">
        <w:rPr>
          <w:rFonts w:ascii="Times New Roman" w:hAnsi="Times New Roman" w:cs="Times New Roman"/>
          <w:color w:val="000000"/>
          <w:sz w:val="24"/>
          <w:szCs w:val="24"/>
        </w:rPr>
        <w:t xml:space="preserve"> ve klinik </w:t>
      </w:r>
      <w:r w:rsidRPr="001F447B">
        <w:rPr>
          <w:rFonts w:ascii="Times New Roman" w:hAnsi="Times New Roman" w:cs="Times New Roman"/>
          <w:color w:val="000000"/>
          <w:sz w:val="24"/>
          <w:szCs w:val="24"/>
        </w:rPr>
        <w:t>konuları</w:t>
      </w:r>
      <w:r w:rsidRPr="002C7935">
        <w:rPr>
          <w:rFonts w:ascii="Times New Roman" w:hAnsi="Times New Roman" w:cs="Times New Roman"/>
          <w:color w:val="000000"/>
          <w:sz w:val="24"/>
          <w:szCs w:val="24"/>
        </w:rPr>
        <w:t xml:space="preserve"> ele alan, EMA, FDA, DSÖ(WHO), ICH</w:t>
      </w:r>
      <w:r w:rsidRPr="001F447B">
        <w:rPr>
          <w:rFonts w:ascii="Times New Roman" w:hAnsi="Times New Roman" w:cs="Times New Roman"/>
          <w:color w:val="000000"/>
          <w:sz w:val="24"/>
          <w:szCs w:val="24"/>
        </w:rPr>
        <w:t xml:space="preserve"> ve</w:t>
      </w:r>
      <w:r w:rsidRPr="002C7935">
        <w:rPr>
          <w:rFonts w:ascii="Times New Roman" w:hAnsi="Times New Roman" w:cs="Times New Roman"/>
          <w:color w:val="000000"/>
          <w:sz w:val="24"/>
          <w:szCs w:val="24"/>
        </w:rPr>
        <w:t xml:space="preserve"> ISO tarafından yayımlanan, ilgili güncel kılavuzlar </w:t>
      </w:r>
      <w:r w:rsidRPr="001F447B">
        <w:rPr>
          <w:rFonts w:ascii="Times New Roman" w:hAnsi="Times New Roman" w:cs="Times New Roman"/>
          <w:color w:val="000000"/>
          <w:sz w:val="24"/>
          <w:szCs w:val="24"/>
        </w:rPr>
        <w:t xml:space="preserve">dikkate alınmalıdır. </w:t>
      </w:r>
    </w:p>
    <w:p w14:paraId="223EC64F" w14:textId="77777777" w:rsidR="00336B38" w:rsidRPr="002C7935" w:rsidRDefault="00336B38" w:rsidP="00336B38">
      <w:pPr>
        <w:ind w:left="360"/>
        <w:jc w:val="both"/>
        <w:rPr>
          <w:rFonts w:ascii="Times New Roman" w:hAnsi="Times New Roman" w:cs="Times New Roman"/>
          <w:b/>
          <w:sz w:val="24"/>
          <w:szCs w:val="24"/>
        </w:rPr>
      </w:pPr>
    </w:p>
    <w:p w14:paraId="5D4A81C4" w14:textId="77777777" w:rsidR="00336B38" w:rsidRPr="002C7935" w:rsidRDefault="00336B38" w:rsidP="00336B38">
      <w:pPr>
        <w:jc w:val="both"/>
        <w:rPr>
          <w:rFonts w:ascii="Times New Roman" w:hAnsi="Times New Roman" w:cs="Times New Roman"/>
          <w:b/>
          <w:sz w:val="24"/>
          <w:szCs w:val="24"/>
        </w:rPr>
      </w:pPr>
      <w:r w:rsidRPr="002C7935">
        <w:rPr>
          <w:rFonts w:ascii="Times New Roman" w:hAnsi="Times New Roman" w:cs="Times New Roman"/>
          <w:b/>
          <w:sz w:val="24"/>
          <w:szCs w:val="24"/>
        </w:rPr>
        <w:t>Yürürlük</w:t>
      </w:r>
    </w:p>
    <w:p w14:paraId="0E611778" w14:textId="77777777" w:rsidR="00336B38" w:rsidRPr="002C7935" w:rsidRDefault="00336B38" w:rsidP="00336B38">
      <w:pPr>
        <w:jc w:val="both"/>
        <w:rPr>
          <w:rFonts w:ascii="Times New Roman" w:hAnsi="Times New Roman" w:cs="Times New Roman"/>
          <w:sz w:val="24"/>
          <w:szCs w:val="24"/>
        </w:rPr>
      </w:pPr>
      <w:r w:rsidRPr="002C7935">
        <w:rPr>
          <w:rFonts w:ascii="Times New Roman" w:hAnsi="Times New Roman" w:cs="Times New Roman"/>
          <w:b/>
          <w:sz w:val="24"/>
          <w:szCs w:val="24"/>
        </w:rPr>
        <w:t xml:space="preserve">MADDE </w:t>
      </w:r>
      <w:r>
        <w:rPr>
          <w:rFonts w:ascii="Times New Roman" w:hAnsi="Times New Roman" w:cs="Times New Roman"/>
          <w:b/>
          <w:sz w:val="24"/>
          <w:szCs w:val="24"/>
        </w:rPr>
        <w:t>26</w:t>
      </w:r>
      <w:r w:rsidRPr="002C7935">
        <w:rPr>
          <w:rFonts w:ascii="Times New Roman" w:hAnsi="Times New Roman" w:cs="Times New Roman"/>
          <w:b/>
          <w:sz w:val="24"/>
          <w:szCs w:val="24"/>
        </w:rPr>
        <w:t xml:space="preserve"> </w:t>
      </w:r>
      <w:r w:rsidRPr="002C7935">
        <w:rPr>
          <w:rFonts w:ascii="Times New Roman" w:hAnsi="Times New Roman" w:cs="Times New Roman"/>
          <w:sz w:val="24"/>
          <w:szCs w:val="24"/>
        </w:rPr>
        <w:t>-</w:t>
      </w:r>
      <w:r w:rsidRPr="002C7935">
        <w:rPr>
          <w:rFonts w:ascii="Times New Roman" w:hAnsi="Times New Roman" w:cs="Times New Roman"/>
          <w:b/>
          <w:sz w:val="24"/>
          <w:szCs w:val="24"/>
        </w:rPr>
        <w:t xml:space="preserve"> </w:t>
      </w:r>
      <w:r w:rsidRPr="002C7935">
        <w:rPr>
          <w:rFonts w:ascii="Times New Roman" w:hAnsi="Times New Roman" w:cs="Times New Roman"/>
          <w:sz w:val="24"/>
          <w:szCs w:val="24"/>
        </w:rPr>
        <w:t>(1)</w:t>
      </w:r>
      <w:r w:rsidRPr="002C7935">
        <w:rPr>
          <w:rFonts w:ascii="Times New Roman" w:eastAsia="Calibri" w:hAnsi="Times New Roman" w:cs="Times New Roman"/>
          <w:color w:val="C00000"/>
          <w:sz w:val="24"/>
          <w:szCs w:val="24"/>
        </w:rPr>
        <w:t xml:space="preserve"> </w:t>
      </w:r>
      <w:r w:rsidRPr="002C7935">
        <w:rPr>
          <w:rFonts w:ascii="Times New Roman" w:eastAsia="Calibri" w:hAnsi="Times New Roman" w:cs="Times New Roman"/>
          <w:sz w:val="24"/>
          <w:szCs w:val="24"/>
        </w:rPr>
        <w:t xml:space="preserve">Bu Kılavuz </w:t>
      </w:r>
      <w:r w:rsidRPr="002C7935">
        <w:rPr>
          <w:rFonts w:ascii="Times New Roman" w:hAnsi="Times New Roman" w:cs="Times New Roman"/>
          <w:sz w:val="24"/>
          <w:szCs w:val="24"/>
        </w:rPr>
        <w:t>Kurum Başkanı onayı ile yürürlüğe girer.</w:t>
      </w:r>
    </w:p>
    <w:p w14:paraId="3DCE1336" w14:textId="77777777" w:rsidR="00336B38" w:rsidRPr="002C7935" w:rsidRDefault="00336B38" w:rsidP="00336B38">
      <w:pPr>
        <w:jc w:val="both"/>
        <w:rPr>
          <w:rFonts w:ascii="Times New Roman" w:eastAsia="Calibri" w:hAnsi="Times New Roman" w:cs="Times New Roman"/>
          <w:color w:val="C00000"/>
          <w:sz w:val="24"/>
          <w:szCs w:val="24"/>
        </w:rPr>
      </w:pPr>
    </w:p>
    <w:p w14:paraId="25C3D66F" w14:textId="77777777" w:rsidR="00336B38" w:rsidRPr="002C7935" w:rsidRDefault="00336B38" w:rsidP="00336B38">
      <w:pPr>
        <w:pStyle w:val="msolistparagraph0"/>
        <w:widowControl w:val="0"/>
        <w:adjustRightInd w:val="0"/>
        <w:spacing w:before="0" w:beforeAutospacing="0" w:after="0" w:afterAutospacing="0" w:line="276" w:lineRule="auto"/>
        <w:ind w:right="48"/>
        <w:contextualSpacing/>
        <w:jc w:val="both"/>
        <w:rPr>
          <w:b/>
        </w:rPr>
      </w:pPr>
      <w:r w:rsidRPr="002C7935">
        <w:rPr>
          <w:b/>
        </w:rPr>
        <w:t>Yürütme</w:t>
      </w:r>
    </w:p>
    <w:p w14:paraId="650635AA" w14:textId="77777777" w:rsidR="00336B38" w:rsidRPr="002C7935" w:rsidRDefault="00336B38" w:rsidP="00336B38">
      <w:pPr>
        <w:pStyle w:val="msolistparagraph0"/>
        <w:widowControl w:val="0"/>
        <w:adjustRightInd w:val="0"/>
        <w:spacing w:before="0" w:beforeAutospacing="0" w:after="0" w:afterAutospacing="0" w:line="276" w:lineRule="auto"/>
        <w:ind w:right="48"/>
        <w:contextualSpacing/>
        <w:jc w:val="both"/>
        <w:rPr>
          <w:b/>
        </w:rPr>
      </w:pPr>
    </w:p>
    <w:p w14:paraId="3A45B6B1" w14:textId="77777777" w:rsidR="00336B38" w:rsidRPr="002C7935" w:rsidRDefault="00336B38" w:rsidP="00336B38">
      <w:pPr>
        <w:pStyle w:val="msolistparagraph0"/>
        <w:widowControl w:val="0"/>
        <w:adjustRightInd w:val="0"/>
        <w:spacing w:before="0" w:beforeAutospacing="0" w:after="0" w:afterAutospacing="0" w:line="276" w:lineRule="auto"/>
        <w:ind w:right="48"/>
        <w:contextualSpacing/>
        <w:jc w:val="both"/>
      </w:pPr>
      <w:r w:rsidRPr="002C7935">
        <w:rPr>
          <w:b/>
        </w:rPr>
        <w:t xml:space="preserve">MADDE </w:t>
      </w:r>
      <w:r>
        <w:rPr>
          <w:b/>
        </w:rPr>
        <w:t>27</w:t>
      </w:r>
      <w:r w:rsidRPr="002C7935">
        <w:rPr>
          <w:b/>
        </w:rPr>
        <w:t xml:space="preserve"> </w:t>
      </w:r>
      <w:r w:rsidRPr="002C7935">
        <w:t>-</w:t>
      </w:r>
      <w:r w:rsidRPr="002C7935">
        <w:rPr>
          <w:b/>
        </w:rPr>
        <w:t xml:space="preserve"> </w:t>
      </w:r>
      <w:r w:rsidRPr="002C7935">
        <w:t>(1) Bu Kılavuz hükümlerini Türkiye İlaç ve Tıbbi Cihaz Kurumu Başkanı yürütür.</w:t>
      </w:r>
    </w:p>
    <w:p w14:paraId="1F7E686A" w14:textId="77777777" w:rsidR="00336B38" w:rsidRDefault="00336B38" w:rsidP="00336B38">
      <w:pPr>
        <w:spacing w:line="276" w:lineRule="auto"/>
        <w:jc w:val="both"/>
        <w:outlineLvl w:val="0"/>
        <w:rPr>
          <w:rFonts w:ascii="Times New Roman" w:hAnsi="Times New Roman" w:cs="Times New Roman"/>
          <w:b/>
          <w:sz w:val="24"/>
          <w:szCs w:val="24"/>
        </w:rPr>
      </w:pPr>
    </w:p>
    <w:p w14:paraId="4F786241" w14:textId="77777777" w:rsidR="00336B38" w:rsidRDefault="00336B38" w:rsidP="00336B38">
      <w:pPr>
        <w:spacing w:line="276" w:lineRule="auto"/>
        <w:jc w:val="both"/>
        <w:outlineLvl w:val="0"/>
        <w:rPr>
          <w:rFonts w:ascii="Times New Roman" w:hAnsi="Times New Roman" w:cs="Times New Roman"/>
          <w:b/>
          <w:sz w:val="24"/>
          <w:szCs w:val="24"/>
        </w:rPr>
      </w:pPr>
    </w:p>
    <w:p w14:paraId="585E36D9" w14:textId="77777777" w:rsidR="00336B38" w:rsidRDefault="00336B38" w:rsidP="00336B38">
      <w:pPr>
        <w:spacing w:line="276" w:lineRule="auto"/>
        <w:jc w:val="both"/>
        <w:outlineLvl w:val="0"/>
        <w:rPr>
          <w:rFonts w:ascii="Times New Roman" w:hAnsi="Times New Roman" w:cs="Times New Roman"/>
          <w:b/>
          <w:sz w:val="24"/>
          <w:szCs w:val="24"/>
        </w:rPr>
      </w:pPr>
    </w:p>
    <w:p w14:paraId="316AF781" w14:textId="77777777" w:rsidR="00336B38" w:rsidRDefault="00336B38" w:rsidP="00336B38">
      <w:pPr>
        <w:spacing w:line="276" w:lineRule="auto"/>
        <w:jc w:val="both"/>
        <w:outlineLvl w:val="0"/>
        <w:rPr>
          <w:rFonts w:ascii="Times New Roman" w:hAnsi="Times New Roman" w:cs="Times New Roman"/>
          <w:b/>
          <w:sz w:val="24"/>
          <w:szCs w:val="24"/>
        </w:rPr>
      </w:pPr>
    </w:p>
    <w:p w14:paraId="6FA5CD14" w14:textId="77777777" w:rsidR="00336B38" w:rsidRDefault="00336B38" w:rsidP="00336B38">
      <w:pPr>
        <w:spacing w:line="276" w:lineRule="auto"/>
        <w:jc w:val="both"/>
        <w:outlineLvl w:val="0"/>
        <w:rPr>
          <w:rFonts w:ascii="Times New Roman" w:hAnsi="Times New Roman" w:cs="Times New Roman"/>
          <w:b/>
          <w:sz w:val="24"/>
          <w:szCs w:val="24"/>
        </w:rPr>
      </w:pPr>
    </w:p>
    <w:p w14:paraId="46B96177" w14:textId="77777777" w:rsidR="00336B38" w:rsidRDefault="00336B38" w:rsidP="00336B38">
      <w:pPr>
        <w:spacing w:line="276" w:lineRule="auto"/>
        <w:jc w:val="both"/>
        <w:outlineLvl w:val="0"/>
        <w:rPr>
          <w:rFonts w:ascii="Times New Roman" w:hAnsi="Times New Roman" w:cs="Times New Roman"/>
          <w:b/>
          <w:sz w:val="24"/>
          <w:szCs w:val="24"/>
        </w:rPr>
      </w:pPr>
    </w:p>
    <w:p w14:paraId="50DCECF8" w14:textId="77777777" w:rsidR="00336B38" w:rsidRDefault="00336B38" w:rsidP="00336B38">
      <w:pPr>
        <w:spacing w:line="276" w:lineRule="auto"/>
        <w:jc w:val="both"/>
        <w:outlineLvl w:val="0"/>
        <w:rPr>
          <w:rFonts w:ascii="Times New Roman" w:hAnsi="Times New Roman" w:cs="Times New Roman"/>
          <w:b/>
          <w:sz w:val="24"/>
          <w:szCs w:val="24"/>
        </w:rPr>
      </w:pPr>
    </w:p>
    <w:p w14:paraId="467BBEA9" w14:textId="77777777" w:rsidR="00336B38" w:rsidRDefault="00336B38" w:rsidP="00336B38">
      <w:pPr>
        <w:spacing w:line="276" w:lineRule="auto"/>
        <w:jc w:val="both"/>
        <w:outlineLvl w:val="0"/>
        <w:rPr>
          <w:rFonts w:ascii="Times New Roman" w:hAnsi="Times New Roman" w:cs="Times New Roman"/>
          <w:b/>
          <w:sz w:val="24"/>
          <w:szCs w:val="24"/>
        </w:rPr>
      </w:pPr>
    </w:p>
    <w:p w14:paraId="144E27B3" w14:textId="77777777" w:rsidR="00336B38" w:rsidRDefault="00336B38" w:rsidP="00336B38">
      <w:pPr>
        <w:spacing w:line="276" w:lineRule="auto"/>
        <w:jc w:val="both"/>
        <w:outlineLvl w:val="0"/>
        <w:rPr>
          <w:rFonts w:ascii="Times New Roman" w:hAnsi="Times New Roman" w:cs="Times New Roman"/>
          <w:b/>
          <w:sz w:val="24"/>
          <w:szCs w:val="24"/>
        </w:rPr>
      </w:pPr>
    </w:p>
    <w:p w14:paraId="1555AA63" w14:textId="77777777" w:rsidR="00336B38" w:rsidRDefault="00336B38" w:rsidP="00336B38">
      <w:pPr>
        <w:spacing w:line="276" w:lineRule="auto"/>
        <w:jc w:val="both"/>
        <w:outlineLvl w:val="0"/>
        <w:rPr>
          <w:rFonts w:ascii="Times New Roman" w:hAnsi="Times New Roman" w:cs="Times New Roman"/>
          <w:b/>
          <w:sz w:val="24"/>
          <w:szCs w:val="24"/>
        </w:rPr>
      </w:pPr>
    </w:p>
    <w:p w14:paraId="12765FD3" w14:textId="77777777" w:rsidR="00336B38" w:rsidRDefault="00336B38" w:rsidP="00336B38">
      <w:pPr>
        <w:spacing w:line="276" w:lineRule="auto"/>
        <w:jc w:val="both"/>
        <w:outlineLvl w:val="0"/>
        <w:rPr>
          <w:rFonts w:ascii="Times New Roman" w:hAnsi="Times New Roman" w:cs="Times New Roman"/>
          <w:b/>
          <w:sz w:val="24"/>
          <w:szCs w:val="24"/>
        </w:rPr>
      </w:pPr>
    </w:p>
    <w:p w14:paraId="6246DC8B" w14:textId="77777777" w:rsidR="00336B38" w:rsidRDefault="00336B38" w:rsidP="00336B38">
      <w:pPr>
        <w:spacing w:line="276" w:lineRule="auto"/>
        <w:jc w:val="both"/>
        <w:outlineLvl w:val="0"/>
        <w:rPr>
          <w:rFonts w:ascii="Times New Roman" w:hAnsi="Times New Roman" w:cs="Times New Roman"/>
          <w:b/>
          <w:sz w:val="24"/>
          <w:szCs w:val="24"/>
        </w:rPr>
      </w:pPr>
    </w:p>
    <w:p w14:paraId="5387B7DB" w14:textId="77777777" w:rsidR="00336B38" w:rsidRDefault="00336B38" w:rsidP="00336B38">
      <w:pPr>
        <w:spacing w:line="276" w:lineRule="auto"/>
        <w:jc w:val="both"/>
        <w:outlineLvl w:val="0"/>
        <w:rPr>
          <w:rFonts w:ascii="Times New Roman" w:hAnsi="Times New Roman" w:cs="Times New Roman"/>
          <w:b/>
          <w:sz w:val="24"/>
          <w:szCs w:val="24"/>
        </w:rPr>
      </w:pPr>
    </w:p>
    <w:p w14:paraId="18A533F6" w14:textId="77777777" w:rsidR="00336B38" w:rsidRDefault="00336B38" w:rsidP="00336B38">
      <w:pPr>
        <w:spacing w:line="276" w:lineRule="auto"/>
        <w:jc w:val="both"/>
        <w:outlineLvl w:val="0"/>
        <w:rPr>
          <w:rFonts w:ascii="Times New Roman" w:hAnsi="Times New Roman" w:cs="Times New Roman"/>
          <w:b/>
          <w:sz w:val="24"/>
          <w:szCs w:val="24"/>
        </w:rPr>
      </w:pPr>
    </w:p>
    <w:p w14:paraId="14C73152" w14:textId="77777777" w:rsidR="00336B38" w:rsidRDefault="00336B38" w:rsidP="00336B38">
      <w:pPr>
        <w:spacing w:line="276" w:lineRule="auto"/>
        <w:jc w:val="both"/>
        <w:outlineLvl w:val="0"/>
        <w:rPr>
          <w:rFonts w:ascii="Times New Roman" w:hAnsi="Times New Roman" w:cs="Times New Roman"/>
          <w:b/>
          <w:sz w:val="24"/>
          <w:szCs w:val="24"/>
        </w:rPr>
      </w:pPr>
    </w:p>
    <w:p w14:paraId="38BBDF2C" w14:textId="77777777" w:rsidR="00336B38" w:rsidRDefault="00336B38" w:rsidP="00336B38">
      <w:pPr>
        <w:spacing w:line="276" w:lineRule="auto"/>
        <w:jc w:val="both"/>
        <w:outlineLvl w:val="0"/>
        <w:rPr>
          <w:rFonts w:ascii="Times New Roman" w:hAnsi="Times New Roman" w:cs="Times New Roman"/>
          <w:b/>
          <w:sz w:val="24"/>
          <w:szCs w:val="24"/>
        </w:rPr>
      </w:pPr>
    </w:p>
    <w:p w14:paraId="1A6D604C" w14:textId="77777777" w:rsidR="00336B38" w:rsidRPr="002C7935" w:rsidRDefault="00336B38" w:rsidP="00336B38">
      <w:pPr>
        <w:spacing w:line="276" w:lineRule="auto"/>
        <w:jc w:val="both"/>
        <w:outlineLvl w:val="0"/>
        <w:rPr>
          <w:rFonts w:ascii="Times New Roman" w:hAnsi="Times New Roman" w:cs="Times New Roman"/>
          <w:b/>
          <w:sz w:val="24"/>
          <w:szCs w:val="24"/>
        </w:rPr>
      </w:pPr>
    </w:p>
    <w:p w14:paraId="7B06212E" w14:textId="77777777" w:rsidR="00561031" w:rsidRPr="002C7935" w:rsidRDefault="00561031" w:rsidP="00336B38">
      <w:pPr>
        <w:pStyle w:val="ListeParagraf"/>
        <w:spacing w:after="0" w:line="276" w:lineRule="auto"/>
        <w:ind w:left="394"/>
        <w:rPr>
          <w:rFonts w:ascii="Times New Roman" w:hAnsi="Times New Roman" w:cs="Times New Roman"/>
          <w:b/>
          <w:sz w:val="24"/>
          <w:szCs w:val="24"/>
        </w:rPr>
      </w:pPr>
    </w:p>
    <w:sectPr w:rsidR="00561031" w:rsidRPr="002C7935" w:rsidSect="00B752E1">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5A6A5" w14:textId="77777777" w:rsidR="00A064C7" w:rsidRDefault="00A064C7" w:rsidP="00A00E04">
      <w:pPr>
        <w:spacing w:after="0" w:line="240" w:lineRule="auto"/>
      </w:pPr>
      <w:r>
        <w:separator/>
      </w:r>
    </w:p>
  </w:endnote>
  <w:endnote w:type="continuationSeparator" w:id="0">
    <w:p w14:paraId="3BB4919E" w14:textId="77777777" w:rsidR="00A064C7" w:rsidRDefault="00A064C7" w:rsidP="00A0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0156"/>
      <w:docPartObj>
        <w:docPartGallery w:val="Page Numbers (Bottom of Page)"/>
        <w:docPartUnique/>
      </w:docPartObj>
    </w:sdtPr>
    <w:sdtEndPr/>
    <w:sdtContent>
      <w:p w14:paraId="3ADCC450" w14:textId="77777777" w:rsidR="0023138C" w:rsidRDefault="00A07B23">
        <w:pPr>
          <w:pStyle w:val="Altbilgi"/>
          <w:jc w:val="center"/>
        </w:pPr>
        <w:r>
          <w:fldChar w:fldCharType="begin"/>
        </w:r>
        <w:r w:rsidR="0023138C">
          <w:instrText>PAGE   \* MERGEFORMAT</w:instrText>
        </w:r>
        <w:r>
          <w:fldChar w:fldCharType="separate"/>
        </w:r>
        <w:r w:rsidR="003C7CE3">
          <w:rPr>
            <w:noProof/>
          </w:rPr>
          <w:t>5</w:t>
        </w:r>
        <w:r>
          <w:fldChar w:fldCharType="end"/>
        </w:r>
      </w:p>
    </w:sdtContent>
  </w:sdt>
  <w:p w14:paraId="42641278" w14:textId="77777777" w:rsidR="0023138C" w:rsidRDefault="002313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37BCD" w14:textId="77777777" w:rsidR="00A064C7" w:rsidRDefault="00A064C7" w:rsidP="00A00E04">
      <w:pPr>
        <w:spacing w:after="0" w:line="240" w:lineRule="auto"/>
      </w:pPr>
      <w:r>
        <w:separator/>
      </w:r>
    </w:p>
  </w:footnote>
  <w:footnote w:type="continuationSeparator" w:id="0">
    <w:p w14:paraId="50D5BEAC" w14:textId="77777777" w:rsidR="00A064C7" w:rsidRDefault="00A064C7" w:rsidP="00A00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C2A"/>
    <w:multiLevelType w:val="hybridMultilevel"/>
    <w:tmpl w:val="97E222D2"/>
    <w:lvl w:ilvl="0" w:tplc="C25CBB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B209EC"/>
    <w:multiLevelType w:val="hybridMultilevel"/>
    <w:tmpl w:val="391076F8"/>
    <w:lvl w:ilvl="0" w:tplc="64F68780">
      <w:start w:val="1"/>
      <w:numFmt w:val="upperRoman"/>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24490A"/>
    <w:multiLevelType w:val="hybridMultilevel"/>
    <w:tmpl w:val="1DFE0256"/>
    <w:lvl w:ilvl="0" w:tplc="DEA4E7D4">
      <w:start w:val="1"/>
      <w:numFmt w:val="upperRoman"/>
      <w:lvlText w:val="%1-"/>
      <w:lvlJc w:val="left"/>
      <w:pPr>
        <w:ind w:left="720" w:hanging="360"/>
      </w:pPr>
      <w:rPr>
        <w:rFonts w:ascii="Times New Roman" w:eastAsia="Calibri" w:hAnsi="Times New Roman" w:cs="Times New Roman"/>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E6728A"/>
    <w:multiLevelType w:val="hybridMultilevel"/>
    <w:tmpl w:val="47226DFE"/>
    <w:lvl w:ilvl="0" w:tplc="B5AE5E28">
      <w:start w:val="1"/>
      <w:numFmt w:val="decimal"/>
      <w:lvlText w:val="%1)"/>
      <w:lvlJc w:val="left"/>
      <w:pPr>
        <w:ind w:left="426" w:hanging="360"/>
      </w:pPr>
      <w:rPr>
        <w:rFonts w:hint="default"/>
        <w:b w:val="0"/>
        <w:sz w:val="24"/>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nsid w:val="0CF703AB"/>
    <w:multiLevelType w:val="hybridMultilevel"/>
    <w:tmpl w:val="FDBE29B0"/>
    <w:lvl w:ilvl="0" w:tplc="CC020FA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31242EC"/>
    <w:multiLevelType w:val="hybridMultilevel"/>
    <w:tmpl w:val="2152C7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8A0317"/>
    <w:multiLevelType w:val="hybridMultilevel"/>
    <w:tmpl w:val="1B1EA1FC"/>
    <w:lvl w:ilvl="0" w:tplc="5FDACA0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75F5018"/>
    <w:multiLevelType w:val="hybridMultilevel"/>
    <w:tmpl w:val="FC20FE26"/>
    <w:lvl w:ilvl="0" w:tplc="75D6F10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9E40683"/>
    <w:multiLevelType w:val="hybridMultilevel"/>
    <w:tmpl w:val="3D704174"/>
    <w:lvl w:ilvl="0" w:tplc="5044BD42">
      <w:start w:val="1"/>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0D6699E"/>
    <w:multiLevelType w:val="hybridMultilevel"/>
    <w:tmpl w:val="ECAAE300"/>
    <w:lvl w:ilvl="0" w:tplc="75D6F10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9CC24F1"/>
    <w:multiLevelType w:val="hybridMultilevel"/>
    <w:tmpl w:val="B5F85B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A704914"/>
    <w:multiLevelType w:val="hybridMultilevel"/>
    <w:tmpl w:val="C0D2B26C"/>
    <w:lvl w:ilvl="0" w:tplc="89D40466">
      <w:start w:val="1"/>
      <w:numFmt w:val="upperRoman"/>
      <w:lvlText w:val="%1-"/>
      <w:lvlJc w:val="left"/>
      <w:pPr>
        <w:ind w:left="720" w:hanging="360"/>
      </w:pPr>
      <w:rPr>
        <w:rFonts w:ascii="Times New Roman" w:eastAsia="Calibr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D72ECD"/>
    <w:multiLevelType w:val="hybridMultilevel"/>
    <w:tmpl w:val="944CC870"/>
    <w:lvl w:ilvl="0" w:tplc="197E67AC">
      <w:start w:val="3"/>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1095FF1"/>
    <w:multiLevelType w:val="hybridMultilevel"/>
    <w:tmpl w:val="5C0E11D8"/>
    <w:lvl w:ilvl="0" w:tplc="61929108">
      <w:start w:val="1"/>
      <w:numFmt w:val="decimal"/>
      <w:lvlText w:val="(%1)"/>
      <w:lvlJc w:val="left"/>
      <w:pPr>
        <w:ind w:left="720" w:hanging="360"/>
      </w:pPr>
      <w:rPr>
        <w:rFonts w:ascii="Times New Roman" w:eastAsia="Calibr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791ED6"/>
    <w:multiLevelType w:val="hybridMultilevel"/>
    <w:tmpl w:val="A4D28B5A"/>
    <w:lvl w:ilvl="0" w:tplc="1B96B022">
      <w:start w:val="1"/>
      <w:numFmt w:val="lowerLetter"/>
      <w:lvlText w:val="%1)"/>
      <w:lvlJc w:val="left"/>
      <w:pPr>
        <w:ind w:left="720" w:hanging="360"/>
      </w:pPr>
      <w:rPr>
        <w:rFonts w:ascii="Calibri" w:eastAsia="Calibri" w:hAnsi="Calibri" w:cs="Times New Roman"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F679B8"/>
    <w:multiLevelType w:val="hybridMultilevel"/>
    <w:tmpl w:val="CB7E39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AF2170C"/>
    <w:multiLevelType w:val="hybridMultilevel"/>
    <w:tmpl w:val="C398188A"/>
    <w:lvl w:ilvl="0" w:tplc="EBD053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D74104"/>
    <w:multiLevelType w:val="hybridMultilevel"/>
    <w:tmpl w:val="55E496C8"/>
    <w:lvl w:ilvl="0" w:tplc="8B54B640">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F21229"/>
    <w:multiLevelType w:val="hybridMultilevel"/>
    <w:tmpl w:val="AB4AE73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492B31FB"/>
    <w:multiLevelType w:val="hybridMultilevel"/>
    <w:tmpl w:val="B8089448"/>
    <w:lvl w:ilvl="0" w:tplc="CE5052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B54372"/>
    <w:multiLevelType w:val="hybridMultilevel"/>
    <w:tmpl w:val="0414AF50"/>
    <w:lvl w:ilvl="0" w:tplc="DFB6ECB8">
      <w:start w:val="1"/>
      <w:numFmt w:val="decimal"/>
      <w:lvlText w:val="(%1)"/>
      <w:lvlJc w:val="left"/>
      <w:pPr>
        <w:ind w:left="720" w:hanging="360"/>
      </w:pPr>
      <w:rPr>
        <w:rFonts w:ascii="Times New Roman" w:eastAsia="Calibr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2C05B9"/>
    <w:multiLevelType w:val="hybridMultilevel"/>
    <w:tmpl w:val="4B046A7E"/>
    <w:lvl w:ilvl="0" w:tplc="E0A4A68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2">
    <w:nsid w:val="518E06B4"/>
    <w:multiLevelType w:val="hybridMultilevel"/>
    <w:tmpl w:val="16DC5C0E"/>
    <w:lvl w:ilvl="0" w:tplc="89D40466">
      <w:start w:val="1"/>
      <w:numFmt w:val="upperRoman"/>
      <w:lvlText w:val="%1-"/>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537213BD"/>
    <w:multiLevelType w:val="hybridMultilevel"/>
    <w:tmpl w:val="7250E15E"/>
    <w:lvl w:ilvl="0" w:tplc="36EEC1D4">
      <w:start w:val="3"/>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4">
    <w:nsid w:val="545E56C8"/>
    <w:multiLevelType w:val="hybridMultilevel"/>
    <w:tmpl w:val="0AD85690"/>
    <w:lvl w:ilvl="0" w:tplc="89D40466">
      <w:start w:val="1"/>
      <w:numFmt w:val="upperRoman"/>
      <w:lvlText w:val="%1-"/>
      <w:lvlJc w:val="left"/>
      <w:pPr>
        <w:ind w:left="1287" w:hanging="360"/>
      </w:pPr>
      <w:rPr>
        <w:rFonts w:ascii="Times New Roman" w:eastAsia="Calibri" w:hAnsi="Times New Roman" w:cs="Times New Roman" w:hint="default"/>
      </w:rPr>
    </w:lvl>
    <w:lvl w:ilvl="1" w:tplc="38F8D0B8">
      <w:start w:val="1"/>
      <w:numFmt w:val="decimal"/>
      <w:lvlText w:val="%2."/>
      <w:lvlJc w:val="left"/>
      <w:pPr>
        <w:ind w:left="2007" w:hanging="360"/>
      </w:pPr>
      <w:rPr>
        <w:rFonts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5891088F"/>
    <w:multiLevelType w:val="hybridMultilevel"/>
    <w:tmpl w:val="DF4E34E8"/>
    <w:lvl w:ilvl="0" w:tplc="FDCC144E">
      <w:start w:val="1"/>
      <w:numFmt w:val="lowerLetter"/>
      <w:lvlText w:val="%1)"/>
      <w:lvlJc w:val="left"/>
      <w:pPr>
        <w:ind w:left="785" w:hanging="360"/>
      </w:pPr>
      <w:rPr>
        <w:rFonts w:ascii="Times New Roman" w:eastAsia="Calibri" w:hAnsi="Times New Roman" w:cs="Times New Roman"/>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6">
    <w:nsid w:val="5ACB760A"/>
    <w:multiLevelType w:val="hybridMultilevel"/>
    <w:tmpl w:val="2850F4E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AE6AD9"/>
    <w:multiLevelType w:val="hybridMultilevel"/>
    <w:tmpl w:val="BA002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8F6EEC"/>
    <w:multiLevelType w:val="hybridMultilevel"/>
    <w:tmpl w:val="C5BE8E62"/>
    <w:lvl w:ilvl="0" w:tplc="BD6670EE">
      <w:start w:val="1"/>
      <w:numFmt w:val="decimal"/>
      <w:lvlText w:val="(%1)"/>
      <w:lvlJc w:val="left"/>
      <w:pPr>
        <w:ind w:left="720" w:hanging="360"/>
      </w:pPr>
      <w:rPr>
        <w:rFonts w:ascii="Times New Roman" w:eastAsia="Calibr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5617D2D"/>
    <w:multiLevelType w:val="hybridMultilevel"/>
    <w:tmpl w:val="9C669A34"/>
    <w:lvl w:ilvl="0" w:tplc="5A4EF2EA">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65802195"/>
    <w:multiLevelType w:val="hybridMultilevel"/>
    <w:tmpl w:val="09CADDE0"/>
    <w:lvl w:ilvl="0" w:tplc="D22C72BC">
      <w:start w:val="2"/>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5356F5"/>
    <w:multiLevelType w:val="hybridMultilevel"/>
    <w:tmpl w:val="62362A2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ABE3E77"/>
    <w:multiLevelType w:val="hybridMultilevel"/>
    <w:tmpl w:val="54EA1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CA230C"/>
    <w:multiLevelType w:val="hybridMultilevel"/>
    <w:tmpl w:val="69A8AC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7F349C"/>
    <w:multiLevelType w:val="hybridMultilevel"/>
    <w:tmpl w:val="E1C26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C717FC6"/>
    <w:multiLevelType w:val="hybridMultilevel"/>
    <w:tmpl w:val="1C9E29B8"/>
    <w:lvl w:ilvl="0" w:tplc="B6E4E82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7A584B"/>
    <w:multiLevelType w:val="hybridMultilevel"/>
    <w:tmpl w:val="7C86B9F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855995"/>
    <w:multiLevelType w:val="hybridMultilevel"/>
    <w:tmpl w:val="DF8A43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726F60D4"/>
    <w:multiLevelType w:val="hybridMultilevel"/>
    <w:tmpl w:val="A66C30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696201F"/>
    <w:multiLevelType w:val="hybridMultilevel"/>
    <w:tmpl w:val="67746A6A"/>
    <w:lvl w:ilvl="0" w:tplc="F572CEF2">
      <w:start w:val="1"/>
      <w:numFmt w:val="upperRoman"/>
      <w:lvlText w:val="%1-"/>
      <w:lvlJc w:val="left"/>
      <w:pPr>
        <w:ind w:left="720" w:hanging="360"/>
      </w:pPr>
      <w:rPr>
        <w:rFonts w:ascii="Times New Roman" w:eastAsia="Calibri"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B234D5"/>
    <w:multiLevelType w:val="hybridMultilevel"/>
    <w:tmpl w:val="9124A196"/>
    <w:lvl w:ilvl="0" w:tplc="041F0017">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86E744F"/>
    <w:multiLevelType w:val="hybridMultilevel"/>
    <w:tmpl w:val="8A7A1494"/>
    <w:lvl w:ilvl="0" w:tplc="6E9CD8D8">
      <w:start w:val="1"/>
      <w:numFmt w:val="decimal"/>
      <w:lvlText w:val="(%1)"/>
      <w:lvlJc w:val="left"/>
      <w:pPr>
        <w:ind w:left="720" w:hanging="360"/>
      </w:pPr>
      <w:rPr>
        <w:rFonts w:ascii="Times New Roman" w:eastAsia="Calibr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8D71241"/>
    <w:multiLevelType w:val="hybridMultilevel"/>
    <w:tmpl w:val="484E380C"/>
    <w:lvl w:ilvl="0" w:tplc="041F0017">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6D121C"/>
    <w:multiLevelType w:val="hybridMultilevel"/>
    <w:tmpl w:val="AEA45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434E77"/>
    <w:multiLevelType w:val="hybridMultilevel"/>
    <w:tmpl w:val="BE7AF6A6"/>
    <w:lvl w:ilvl="0" w:tplc="75D6F104">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3"/>
  </w:num>
  <w:num w:numId="3">
    <w:abstractNumId w:val="25"/>
  </w:num>
  <w:num w:numId="4">
    <w:abstractNumId w:val="36"/>
  </w:num>
  <w:num w:numId="5">
    <w:abstractNumId w:val="17"/>
  </w:num>
  <w:num w:numId="6">
    <w:abstractNumId w:val="40"/>
  </w:num>
  <w:num w:numId="7">
    <w:abstractNumId w:val="14"/>
  </w:num>
  <w:num w:numId="8">
    <w:abstractNumId w:val="38"/>
  </w:num>
  <w:num w:numId="9">
    <w:abstractNumId w:val="42"/>
  </w:num>
  <w:num w:numId="10">
    <w:abstractNumId w:val="32"/>
  </w:num>
  <w:num w:numId="11">
    <w:abstractNumId w:val="5"/>
  </w:num>
  <w:num w:numId="12">
    <w:abstractNumId w:val="10"/>
  </w:num>
  <w:num w:numId="13">
    <w:abstractNumId w:val="37"/>
  </w:num>
  <w:num w:numId="14">
    <w:abstractNumId w:val="27"/>
  </w:num>
  <w:num w:numId="15">
    <w:abstractNumId w:val="43"/>
  </w:num>
  <w:num w:numId="16">
    <w:abstractNumId w:val="29"/>
  </w:num>
  <w:num w:numId="17">
    <w:abstractNumId w:val="8"/>
  </w:num>
  <w:num w:numId="18">
    <w:abstractNumId w:val="35"/>
  </w:num>
  <w:num w:numId="19">
    <w:abstractNumId w:val="9"/>
  </w:num>
  <w:num w:numId="20">
    <w:abstractNumId w:val="11"/>
  </w:num>
  <w:num w:numId="21">
    <w:abstractNumId w:val="2"/>
  </w:num>
  <w:num w:numId="22">
    <w:abstractNumId w:val="1"/>
  </w:num>
  <w:num w:numId="23">
    <w:abstractNumId w:val="39"/>
  </w:num>
  <w:num w:numId="24">
    <w:abstractNumId w:val="24"/>
  </w:num>
  <w:num w:numId="25">
    <w:abstractNumId w:val="22"/>
  </w:num>
  <w:num w:numId="26">
    <w:abstractNumId w:val="21"/>
  </w:num>
  <w:num w:numId="27">
    <w:abstractNumId w:val="23"/>
  </w:num>
  <w:num w:numId="28">
    <w:abstractNumId w:val="33"/>
  </w:num>
  <w:num w:numId="29">
    <w:abstractNumId w:val="26"/>
  </w:num>
  <w:num w:numId="30">
    <w:abstractNumId w:val="16"/>
  </w:num>
  <w:num w:numId="31">
    <w:abstractNumId w:val="30"/>
  </w:num>
  <w:num w:numId="32">
    <w:abstractNumId w:val="28"/>
  </w:num>
  <w:num w:numId="33">
    <w:abstractNumId w:val="20"/>
  </w:num>
  <w:num w:numId="34">
    <w:abstractNumId w:val="13"/>
  </w:num>
  <w:num w:numId="35">
    <w:abstractNumId w:val="41"/>
  </w:num>
  <w:num w:numId="36">
    <w:abstractNumId w:val="19"/>
  </w:num>
  <w:num w:numId="37">
    <w:abstractNumId w:val="0"/>
  </w:num>
  <w:num w:numId="38">
    <w:abstractNumId w:val="4"/>
  </w:num>
  <w:num w:numId="39">
    <w:abstractNumId w:val="6"/>
  </w:num>
  <w:num w:numId="40">
    <w:abstractNumId w:val="12"/>
  </w:num>
  <w:num w:numId="41">
    <w:abstractNumId w:val="31"/>
  </w:num>
  <w:num w:numId="42">
    <w:abstractNumId w:val="15"/>
  </w:num>
  <w:num w:numId="43">
    <w:abstractNumId w:val="7"/>
  </w:num>
  <w:num w:numId="44">
    <w:abstractNumId w:val="4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1C"/>
    <w:rsid w:val="00001294"/>
    <w:rsid w:val="00001C9F"/>
    <w:rsid w:val="00001DBF"/>
    <w:rsid w:val="0000250A"/>
    <w:rsid w:val="0000389A"/>
    <w:rsid w:val="000140C5"/>
    <w:rsid w:val="00022473"/>
    <w:rsid w:val="00024402"/>
    <w:rsid w:val="00024D27"/>
    <w:rsid w:val="00024F3E"/>
    <w:rsid w:val="00031A77"/>
    <w:rsid w:val="00033407"/>
    <w:rsid w:val="00033AE8"/>
    <w:rsid w:val="0003465E"/>
    <w:rsid w:val="0003636E"/>
    <w:rsid w:val="00036B10"/>
    <w:rsid w:val="00041A40"/>
    <w:rsid w:val="00043500"/>
    <w:rsid w:val="00044CC8"/>
    <w:rsid w:val="00046D40"/>
    <w:rsid w:val="000549D1"/>
    <w:rsid w:val="00063E40"/>
    <w:rsid w:val="0006419C"/>
    <w:rsid w:val="0006476E"/>
    <w:rsid w:val="000649CD"/>
    <w:rsid w:val="00070BA1"/>
    <w:rsid w:val="0007270C"/>
    <w:rsid w:val="000741E7"/>
    <w:rsid w:val="0008566F"/>
    <w:rsid w:val="0008776F"/>
    <w:rsid w:val="0009120D"/>
    <w:rsid w:val="0009476E"/>
    <w:rsid w:val="000A471B"/>
    <w:rsid w:val="000A589D"/>
    <w:rsid w:val="000A59EB"/>
    <w:rsid w:val="000A60F7"/>
    <w:rsid w:val="000A6799"/>
    <w:rsid w:val="000A74EF"/>
    <w:rsid w:val="000A7EAD"/>
    <w:rsid w:val="000B01D5"/>
    <w:rsid w:val="000B317E"/>
    <w:rsid w:val="000B5DBC"/>
    <w:rsid w:val="000B5FF4"/>
    <w:rsid w:val="000B74BB"/>
    <w:rsid w:val="000C3000"/>
    <w:rsid w:val="000C5940"/>
    <w:rsid w:val="000C6E7D"/>
    <w:rsid w:val="000D4ED4"/>
    <w:rsid w:val="000D692B"/>
    <w:rsid w:val="000D6EFA"/>
    <w:rsid w:val="000E0443"/>
    <w:rsid w:val="000E0577"/>
    <w:rsid w:val="000E07B1"/>
    <w:rsid w:val="000E084B"/>
    <w:rsid w:val="000E2BC1"/>
    <w:rsid w:val="000F24F2"/>
    <w:rsid w:val="000F32CB"/>
    <w:rsid w:val="0010154C"/>
    <w:rsid w:val="00106CFA"/>
    <w:rsid w:val="00110D0A"/>
    <w:rsid w:val="00111480"/>
    <w:rsid w:val="00111B2E"/>
    <w:rsid w:val="00112C45"/>
    <w:rsid w:val="00113835"/>
    <w:rsid w:val="00115FCB"/>
    <w:rsid w:val="00116D66"/>
    <w:rsid w:val="00117FD5"/>
    <w:rsid w:val="001229A7"/>
    <w:rsid w:val="00122A9E"/>
    <w:rsid w:val="00122B7E"/>
    <w:rsid w:val="00125743"/>
    <w:rsid w:val="00125FF2"/>
    <w:rsid w:val="0013253C"/>
    <w:rsid w:val="001333CF"/>
    <w:rsid w:val="0014176B"/>
    <w:rsid w:val="00141BEC"/>
    <w:rsid w:val="00143B90"/>
    <w:rsid w:val="0014427A"/>
    <w:rsid w:val="001450B4"/>
    <w:rsid w:val="00146056"/>
    <w:rsid w:val="00146958"/>
    <w:rsid w:val="001503C4"/>
    <w:rsid w:val="00150445"/>
    <w:rsid w:val="00152480"/>
    <w:rsid w:val="00152D17"/>
    <w:rsid w:val="001552B3"/>
    <w:rsid w:val="001567B0"/>
    <w:rsid w:val="001576BB"/>
    <w:rsid w:val="00165125"/>
    <w:rsid w:val="001674A7"/>
    <w:rsid w:val="00172762"/>
    <w:rsid w:val="00173DB0"/>
    <w:rsid w:val="00182A59"/>
    <w:rsid w:val="0018337B"/>
    <w:rsid w:val="00184A75"/>
    <w:rsid w:val="001868C8"/>
    <w:rsid w:val="001901E2"/>
    <w:rsid w:val="00190DB1"/>
    <w:rsid w:val="00192C0A"/>
    <w:rsid w:val="00193767"/>
    <w:rsid w:val="00194163"/>
    <w:rsid w:val="001950A5"/>
    <w:rsid w:val="001B24A6"/>
    <w:rsid w:val="001B5286"/>
    <w:rsid w:val="001C1635"/>
    <w:rsid w:val="001C6302"/>
    <w:rsid w:val="001C6A66"/>
    <w:rsid w:val="001C7E92"/>
    <w:rsid w:val="001D13E9"/>
    <w:rsid w:val="001D15F5"/>
    <w:rsid w:val="001D1AC8"/>
    <w:rsid w:val="001D1F6A"/>
    <w:rsid w:val="001D21C7"/>
    <w:rsid w:val="001D4759"/>
    <w:rsid w:val="001D577E"/>
    <w:rsid w:val="001D60DF"/>
    <w:rsid w:val="001D76F0"/>
    <w:rsid w:val="001E1138"/>
    <w:rsid w:val="001E2017"/>
    <w:rsid w:val="001E457C"/>
    <w:rsid w:val="001E7865"/>
    <w:rsid w:val="001E798E"/>
    <w:rsid w:val="001F0665"/>
    <w:rsid w:val="001F0DCC"/>
    <w:rsid w:val="001F168D"/>
    <w:rsid w:val="001F447B"/>
    <w:rsid w:val="001F4FAD"/>
    <w:rsid w:val="00202366"/>
    <w:rsid w:val="00204220"/>
    <w:rsid w:val="00204588"/>
    <w:rsid w:val="0020460E"/>
    <w:rsid w:val="00206AED"/>
    <w:rsid w:val="002109EF"/>
    <w:rsid w:val="002121D0"/>
    <w:rsid w:val="00217A30"/>
    <w:rsid w:val="00221BED"/>
    <w:rsid w:val="00221DBB"/>
    <w:rsid w:val="0022279F"/>
    <w:rsid w:val="00226294"/>
    <w:rsid w:val="0023138C"/>
    <w:rsid w:val="0023277F"/>
    <w:rsid w:val="00233A07"/>
    <w:rsid w:val="0023691C"/>
    <w:rsid w:val="002434BB"/>
    <w:rsid w:val="002462BF"/>
    <w:rsid w:val="00246ABF"/>
    <w:rsid w:val="00247E21"/>
    <w:rsid w:val="00252DA8"/>
    <w:rsid w:val="0025308E"/>
    <w:rsid w:val="002549E3"/>
    <w:rsid w:val="00257F52"/>
    <w:rsid w:val="00260AF3"/>
    <w:rsid w:val="00261370"/>
    <w:rsid w:val="00261463"/>
    <w:rsid w:val="00262689"/>
    <w:rsid w:val="002658DB"/>
    <w:rsid w:val="00267383"/>
    <w:rsid w:val="00271347"/>
    <w:rsid w:val="0027176C"/>
    <w:rsid w:val="00271C73"/>
    <w:rsid w:val="00271D47"/>
    <w:rsid w:val="00273B49"/>
    <w:rsid w:val="00276629"/>
    <w:rsid w:val="00276ABF"/>
    <w:rsid w:val="00276E53"/>
    <w:rsid w:val="0028235C"/>
    <w:rsid w:val="00286005"/>
    <w:rsid w:val="00286FAD"/>
    <w:rsid w:val="00287507"/>
    <w:rsid w:val="00290964"/>
    <w:rsid w:val="00292727"/>
    <w:rsid w:val="00293837"/>
    <w:rsid w:val="0029687D"/>
    <w:rsid w:val="00296983"/>
    <w:rsid w:val="002A1834"/>
    <w:rsid w:val="002A350B"/>
    <w:rsid w:val="002A4A70"/>
    <w:rsid w:val="002B18F4"/>
    <w:rsid w:val="002B2B48"/>
    <w:rsid w:val="002B45A9"/>
    <w:rsid w:val="002B5AB1"/>
    <w:rsid w:val="002B6A07"/>
    <w:rsid w:val="002B7B18"/>
    <w:rsid w:val="002C0052"/>
    <w:rsid w:val="002C2CF0"/>
    <w:rsid w:val="002C3099"/>
    <w:rsid w:val="002C4899"/>
    <w:rsid w:val="002C576B"/>
    <w:rsid w:val="002C6809"/>
    <w:rsid w:val="002C7935"/>
    <w:rsid w:val="002D1A15"/>
    <w:rsid w:val="002D2CF9"/>
    <w:rsid w:val="002D3E24"/>
    <w:rsid w:val="002D5322"/>
    <w:rsid w:val="002D535D"/>
    <w:rsid w:val="002D7AED"/>
    <w:rsid w:val="002E4779"/>
    <w:rsid w:val="002E56FF"/>
    <w:rsid w:val="002E5813"/>
    <w:rsid w:val="002E5BB3"/>
    <w:rsid w:val="002E647E"/>
    <w:rsid w:val="002E6C54"/>
    <w:rsid w:val="002E6FA9"/>
    <w:rsid w:val="002F1785"/>
    <w:rsid w:val="002F6E1C"/>
    <w:rsid w:val="0030171D"/>
    <w:rsid w:val="0030226D"/>
    <w:rsid w:val="003041B3"/>
    <w:rsid w:val="00304FA9"/>
    <w:rsid w:val="00305873"/>
    <w:rsid w:val="00307490"/>
    <w:rsid w:val="0031149B"/>
    <w:rsid w:val="00311BA9"/>
    <w:rsid w:val="00314CD5"/>
    <w:rsid w:val="00317148"/>
    <w:rsid w:val="003210A0"/>
    <w:rsid w:val="00323F6F"/>
    <w:rsid w:val="00324CD0"/>
    <w:rsid w:val="00327D21"/>
    <w:rsid w:val="00332F5B"/>
    <w:rsid w:val="003340AC"/>
    <w:rsid w:val="00335086"/>
    <w:rsid w:val="00336800"/>
    <w:rsid w:val="00336B38"/>
    <w:rsid w:val="00341D60"/>
    <w:rsid w:val="00341D72"/>
    <w:rsid w:val="00344324"/>
    <w:rsid w:val="00344EB8"/>
    <w:rsid w:val="00350FEB"/>
    <w:rsid w:val="00352633"/>
    <w:rsid w:val="00352E0F"/>
    <w:rsid w:val="00353C15"/>
    <w:rsid w:val="003561EE"/>
    <w:rsid w:val="003714EF"/>
    <w:rsid w:val="003732EE"/>
    <w:rsid w:val="003739CA"/>
    <w:rsid w:val="00375D82"/>
    <w:rsid w:val="00375E55"/>
    <w:rsid w:val="00376C38"/>
    <w:rsid w:val="00381998"/>
    <w:rsid w:val="00381CB3"/>
    <w:rsid w:val="00382318"/>
    <w:rsid w:val="00382BB4"/>
    <w:rsid w:val="00383DA5"/>
    <w:rsid w:val="00385049"/>
    <w:rsid w:val="003910A4"/>
    <w:rsid w:val="00391A81"/>
    <w:rsid w:val="003925C2"/>
    <w:rsid w:val="003934EF"/>
    <w:rsid w:val="00397E86"/>
    <w:rsid w:val="003A01A6"/>
    <w:rsid w:val="003A0FF6"/>
    <w:rsid w:val="003A1426"/>
    <w:rsid w:val="003A1A9B"/>
    <w:rsid w:val="003A59E7"/>
    <w:rsid w:val="003A6C20"/>
    <w:rsid w:val="003A743A"/>
    <w:rsid w:val="003A7F79"/>
    <w:rsid w:val="003B0663"/>
    <w:rsid w:val="003B240C"/>
    <w:rsid w:val="003B2A21"/>
    <w:rsid w:val="003B5484"/>
    <w:rsid w:val="003B7BD0"/>
    <w:rsid w:val="003C0565"/>
    <w:rsid w:val="003C1AF9"/>
    <w:rsid w:val="003C7CE3"/>
    <w:rsid w:val="003D1729"/>
    <w:rsid w:val="003D2D89"/>
    <w:rsid w:val="003D3A04"/>
    <w:rsid w:val="003D406B"/>
    <w:rsid w:val="003E1C2E"/>
    <w:rsid w:val="003E7647"/>
    <w:rsid w:val="003E7D71"/>
    <w:rsid w:val="003E7FAF"/>
    <w:rsid w:val="003F0603"/>
    <w:rsid w:val="003F0E1F"/>
    <w:rsid w:val="003F1DAD"/>
    <w:rsid w:val="004001DD"/>
    <w:rsid w:val="00400EE6"/>
    <w:rsid w:val="00403FD2"/>
    <w:rsid w:val="00404ACA"/>
    <w:rsid w:val="004064B6"/>
    <w:rsid w:val="004101D7"/>
    <w:rsid w:val="00412075"/>
    <w:rsid w:val="00412CA4"/>
    <w:rsid w:val="00416633"/>
    <w:rsid w:val="0041675E"/>
    <w:rsid w:val="00416B14"/>
    <w:rsid w:val="00421ACD"/>
    <w:rsid w:val="00421C78"/>
    <w:rsid w:val="00422695"/>
    <w:rsid w:val="00425168"/>
    <w:rsid w:val="00425D4E"/>
    <w:rsid w:val="0043323C"/>
    <w:rsid w:val="00433D0A"/>
    <w:rsid w:val="004374AB"/>
    <w:rsid w:val="00441B34"/>
    <w:rsid w:val="00444B88"/>
    <w:rsid w:val="00444D70"/>
    <w:rsid w:val="00446C2B"/>
    <w:rsid w:val="00447F4A"/>
    <w:rsid w:val="00450DB6"/>
    <w:rsid w:val="004511A5"/>
    <w:rsid w:val="004519FE"/>
    <w:rsid w:val="00454B91"/>
    <w:rsid w:val="00456853"/>
    <w:rsid w:val="00456B49"/>
    <w:rsid w:val="00457761"/>
    <w:rsid w:val="00457CA7"/>
    <w:rsid w:val="00460006"/>
    <w:rsid w:val="0046178F"/>
    <w:rsid w:val="004626F3"/>
    <w:rsid w:val="00462E59"/>
    <w:rsid w:val="0046421A"/>
    <w:rsid w:val="00465803"/>
    <w:rsid w:val="004675E5"/>
    <w:rsid w:val="00471292"/>
    <w:rsid w:val="004716C5"/>
    <w:rsid w:val="00473F40"/>
    <w:rsid w:val="00475F16"/>
    <w:rsid w:val="00481CEB"/>
    <w:rsid w:val="0048603B"/>
    <w:rsid w:val="004863BC"/>
    <w:rsid w:val="00490B33"/>
    <w:rsid w:val="00491DC9"/>
    <w:rsid w:val="00494397"/>
    <w:rsid w:val="0049546E"/>
    <w:rsid w:val="004957F5"/>
    <w:rsid w:val="00496FE0"/>
    <w:rsid w:val="00497E7E"/>
    <w:rsid w:val="004A26CF"/>
    <w:rsid w:val="004A3537"/>
    <w:rsid w:val="004A473C"/>
    <w:rsid w:val="004A51CC"/>
    <w:rsid w:val="004A52D3"/>
    <w:rsid w:val="004A5D73"/>
    <w:rsid w:val="004A69A0"/>
    <w:rsid w:val="004A756D"/>
    <w:rsid w:val="004B16C2"/>
    <w:rsid w:val="004B4201"/>
    <w:rsid w:val="004B4A68"/>
    <w:rsid w:val="004B5C6C"/>
    <w:rsid w:val="004C050B"/>
    <w:rsid w:val="004C5D09"/>
    <w:rsid w:val="004C6ABF"/>
    <w:rsid w:val="004C6E03"/>
    <w:rsid w:val="004C7E0E"/>
    <w:rsid w:val="004D3205"/>
    <w:rsid w:val="004D3D9E"/>
    <w:rsid w:val="004E071E"/>
    <w:rsid w:val="004E0E8A"/>
    <w:rsid w:val="004E55B6"/>
    <w:rsid w:val="004F058C"/>
    <w:rsid w:val="004F2527"/>
    <w:rsid w:val="004F57A7"/>
    <w:rsid w:val="004F5BD4"/>
    <w:rsid w:val="004F6ABC"/>
    <w:rsid w:val="005002C3"/>
    <w:rsid w:val="00500D6D"/>
    <w:rsid w:val="00502E74"/>
    <w:rsid w:val="00503BB9"/>
    <w:rsid w:val="00506BF2"/>
    <w:rsid w:val="00507898"/>
    <w:rsid w:val="00507E8B"/>
    <w:rsid w:val="0051207C"/>
    <w:rsid w:val="00515838"/>
    <w:rsid w:val="00515DF3"/>
    <w:rsid w:val="00520756"/>
    <w:rsid w:val="00532928"/>
    <w:rsid w:val="00532AED"/>
    <w:rsid w:val="00532F4B"/>
    <w:rsid w:val="005351A2"/>
    <w:rsid w:val="0053633F"/>
    <w:rsid w:val="0053782A"/>
    <w:rsid w:val="00537A80"/>
    <w:rsid w:val="0054055A"/>
    <w:rsid w:val="00542D9D"/>
    <w:rsid w:val="00551879"/>
    <w:rsid w:val="00551D17"/>
    <w:rsid w:val="005554EE"/>
    <w:rsid w:val="00555F41"/>
    <w:rsid w:val="00556535"/>
    <w:rsid w:val="005576AE"/>
    <w:rsid w:val="00560BDE"/>
    <w:rsid w:val="00561031"/>
    <w:rsid w:val="00564805"/>
    <w:rsid w:val="00570506"/>
    <w:rsid w:val="00574B58"/>
    <w:rsid w:val="005761C8"/>
    <w:rsid w:val="00576773"/>
    <w:rsid w:val="00581E3F"/>
    <w:rsid w:val="005846B0"/>
    <w:rsid w:val="00585B52"/>
    <w:rsid w:val="00586890"/>
    <w:rsid w:val="00591047"/>
    <w:rsid w:val="00591934"/>
    <w:rsid w:val="0059237E"/>
    <w:rsid w:val="0059319C"/>
    <w:rsid w:val="005938E0"/>
    <w:rsid w:val="005954C9"/>
    <w:rsid w:val="0059572E"/>
    <w:rsid w:val="005970E9"/>
    <w:rsid w:val="005A2CEC"/>
    <w:rsid w:val="005A371D"/>
    <w:rsid w:val="005A3D8F"/>
    <w:rsid w:val="005A6E89"/>
    <w:rsid w:val="005A768C"/>
    <w:rsid w:val="005B290B"/>
    <w:rsid w:val="005B311D"/>
    <w:rsid w:val="005B4F77"/>
    <w:rsid w:val="005B5DF6"/>
    <w:rsid w:val="005B6E23"/>
    <w:rsid w:val="005C156C"/>
    <w:rsid w:val="005C5984"/>
    <w:rsid w:val="005C5BB0"/>
    <w:rsid w:val="005D18EF"/>
    <w:rsid w:val="005D3A7E"/>
    <w:rsid w:val="005D43CC"/>
    <w:rsid w:val="005D4D49"/>
    <w:rsid w:val="005D54A1"/>
    <w:rsid w:val="005D615D"/>
    <w:rsid w:val="005D7102"/>
    <w:rsid w:val="005D7110"/>
    <w:rsid w:val="005D728A"/>
    <w:rsid w:val="005D7CC0"/>
    <w:rsid w:val="005E28DB"/>
    <w:rsid w:val="005E78CE"/>
    <w:rsid w:val="005F367E"/>
    <w:rsid w:val="005F45E3"/>
    <w:rsid w:val="005F48B0"/>
    <w:rsid w:val="006010EB"/>
    <w:rsid w:val="006060A9"/>
    <w:rsid w:val="00613C26"/>
    <w:rsid w:val="00614F5E"/>
    <w:rsid w:val="006153E5"/>
    <w:rsid w:val="00615433"/>
    <w:rsid w:val="00623B3E"/>
    <w:rsid w:val="006241EB"/>
    <w:rsid w:val="00624C4F"/>
    <w:rsid w:val="00625BE1"/>
    <w:rsid w:val="00630FA0"/>
    <w:rsid w:val="00632033"/>
    <w:rsid w:val="006326EC"/>
    <w:rsid w:val="006328E1"/>
    <w:rsid w:val="00634F44"/>
    <w:rsid w:val="006350D5"/>
    <w:rsid w:val="00635A3B"/>
    <w:rsid w:val="00640145"/>
    <w:rsid w:val="006402F9"/>
    <w:rsid w:val="00640616"/>
    <w:rsid w:val="00640765"/>
    <w:rsid w:val="00643460"/>
    <w:rsid w:val="00647894"/>
    <w:rsid w:val="006520FB"/>
    <w:rsid w:val="00657658"/>
    <w:rsid w:val="006637FD"/>
    <w:rsid w:val="00663B55"/>
    <w:rsid w:val="00664116"/>
    <w:rsid w:val="006653B5"/>
    <w:rsid w:val="00670C5D"/>
    <w:rsid w:val="006729A8"/>
    <w:rsid w:val="00673951"/>
    <w:rsid w:val="006773E7"/>
    <w:rsid w:val="00677F7A"/>
    <w:rsid w:val="0068003B"/>
    <w:rsid w:val="0068203E"/>
    <w:rsid w:val="0068411A"/>
    <w:rsid w:val="00687027"/>
    <w:rsid w:val="00687DD7"/>
    <w:rsid w:val="006924BF"/>
    <w:rsid w:val="00697AE5"/>
    <w:rsid w:val="006A18C3"/>
    <w:rsid w:val="006A1E15"/>
    <w:rsid w:val="006A6B03"/>
    <w:rsid w:val="006A75EA"/>
    <w:rsid w:val="006A78AC"/>
    <w:rsid w:val="006B316E"/>
    <w:rsid w:val="006B6525"/>
    <w:rsid w:val="006C06A9"/>
    <w:rsid w:val="006C1821"/>
    <w:rsid w:val="006C1878"/>
    <w:rsid w:val="006C298B"/>
    <w:rsid w:val="006C42C3"/>
    <w:rsid w:val="006D466E"/>
    <w:rsid w:val="006E5BBF"/>
    <w:rsid w:val="006F4222"/>
    <w:rsid w:val="006F6C39"/>
    <w:rsid w:val="00701D35"/>
    <w:rsid w:val="0070327B"/>
    <w:rsid w:val="007035EE"/>
    <w:rsid w:val="007106B4"/>
    <w:rsid w:val="007135D0"/>
    <w:rsid w:val="0071684D"/>
    <w:rsid w:val="007264A3"/>
    <w:rsid w:val="00735F1C"/>
    <w:rsid w:val="007363C5"/>
    <w:rsid w:val="00737798"/>
    <w:rsid w:val="00737E30"/>
    <w:rsid w:val="0074036E"/>
    <w:rsid w:val="00744538"/>
    <w:rsid w:val="007456D6"/>
    <w:rsid w:val="00750F71"/>
    <w:rsid w:val="0075304C"/>
    <w:rsid w:val="007543A5"/>
    <w:rsid w:val="0075456D"/>
    <w:rsid w:val="00754A28"/>
    <w:rsid w:val="00754CEE"/>
    <w:rsid w:val="00755874"/>
    <w:rsid w:val="00756A16"/>
    <w:rsid w:val="0075771D"/>
    <w:rsid w:val="007610D2"/>
    <w:rsid w:val="00761D1B"/>
    <w:rsid w:val="007635B8"/>
    <w:rsid w:val="007732E0"/>
    <w:rsid w:val="00773B81"/>
    <w:rsid w:val="00773E42"/>
    <w:rsid w:val="007761D0"/>
    <w:rsid w:val="007910CF"/>
    <w:rsid w:val="00791E39"/>
    <w:rsid w:val="007936CB"/>
    <w:rsid w:val="007950EE"/>
    <w:rsid w:val="00797708"/>
    <w:rsid w:val="00797B91"/>
    <w:rsid w:val="007A0417"/>
    <w:rsid w:val="007A0C4A"/>
    <w:rsid w:val="007A3A10"/>
    <w:rsid w:val="007A4AC4"/>
    <w:rsid w:val="007B21A2"/>
    <w:rsid w:val="007B293A"/>
    <w:rsid w:val="007B2AD9"/>
    <w:rsid w:val="007B41A9"/>
    <w:rsid w:val="007B454A"/>
    <w:rsid w:val="007B6120"/>
    <w:rsid w:val="007C2EF6"/>
    <w:rsid w:val="007D26A1"/>
    <w:rsid w:val="007D2C31"/>
    <w:rsid w:val="007D7EC0"/>
    <w:rsid w:val="007E2C5F"/>
    <w:rsid w:val="007E638B"/>
    <w:rsid w:val="007E6FC3"/>
    <w:rsid w:val="007E6FD0"/>
    <w:rsid w:val="007F054C"/>
    <w:rsid w:val="007F3A4B"/>
    <w:rsid w:val="007F495E"/>
    <w:rsid w:val="007F6870"/>
    <w:rsid w:val="00800E10"/>
    <w:rsid w:val="008028CC"/>
    <w:rsid w:val="0080300B"/>
    <w:rsid w:val="0080301D"/>
    <w:rsid w:val="0080332E"/>
    <w:rsid w:val="00810012"/>
    <w:rsid w:val="008111BA"/>
    <w:rsid w:val="00811728"/>
    <w:rsid w:val="00811D56"/>
    <w:rsid w:val="00814480"/>
    <w:rsid w:val="00814A9A"/>
    <w:rsid w:val="00816E7B"/>
    <w:rsid w:val="00817DA6"/>
    <w:rsid w:val="00822AD5"/>
    <w:rsid w:val="0082374D"/>
    <w:rsid w:val="008246CD"/>
    <w:rsid w:val="00824CF0"/>
    <w:rsid w:val="00830590"/>
    <w:rsid w:val="008319DE"/>
    <w:rsid w:val="00832DAA"/>
    <w:rsid w:val="00835AA8"/>
    <w:rsid w:val="00836A85"/>
    <w:rsid w:val="00840F2C"/>
    <w:rsid w:val="0084177F"/>
    <w:rsid w:val="00841C99"/>
    <w:rsid w:val="008421C9"/>
    <w:rsid w:val="00844FCC"/>
    <w:rsid w:val="0084583C"/>
    <w:rsid w:val="008476AE"/>
    <w:rsid w:val="008522B5"/>
    <w:rsid w:val="00852790"/>
    <w:rsid w:val="00854695"/>
    <w:rsid w:val="00863242"/>
    <w:rsid w:val="00864949"/>
    <w:rsid w:val="008671D6"/>
    <w:rsid w:val="00870259"/>
    <w:rsid w:val="00871563"/>
    <w:rsid w:val="00875925"/>
    <w:rsid w:val="00880741"/>
    <w:rsid w:val="0088408C"/>
    <w:rsid w:val="00884E2A"/>
    <w:rsid w:val="00887AC4"/>
    <w:rsid w:val="00893DB5"/>
    <w:rsid w:val="008941F6"/>
    <w:rsid w:val="00895FB8"/>
    <w:rsid w:val="00896DE7"/>
    <w:rsid w:val="00897494"/>
    <w:rsid w:val="00897575"/>
    <w:rsid w:val="008A4871"/>
    <w:rsid w:val="008A6AAA"/>
    <w:rsid w:val="008A7663"/>
    <w:rsid w:val="008B08BB"/>
    <w:rsid w:val="008B19BD"/>
    <w:rsid w:val="008B6ECB"/>
    <w:rsid w:val="008C1A51"/>
    <w:rsid w:val="008C24BD"/>
    <w:rsid w:val="008C2CA7"/>
    <w:rsid w:val="008C2F25"/>
    <w:rsid w:val="008C7F70"/>
    <w:rsid w:val="008D0460"/>
    <w:rsid w:val="008D17E1"/>
    <w:rsid w:val="008D1CDF"/>
    <w:rsid w:val="008D3939"/>
    <w:rsid w:val="008D3B9E"/>
    <w:rsid w:val="008D61D0"/>
    <w:rsid w:val="008E7785"/>
    <w:rsid w:val="008E7DB7"/>
    <w:rsid w:val="008F2B61"/>
    <w:rsid w:val="008F63AB"/>
    <w:rsid w:val="008F7418"/>
    <w:rsid w:val="00900CAE"/>
    <w:rsid w:val="009035C9"/>
    <w:rsid w:val="00905485"/>
    <w:rsid w:val="00906534"/>
    <w:rsid w:val="009072E5"/>
    <w:rsid w:val="00911B33"/>
    <w:rsid w:val="0091306E"/>
    <w:rsid w:val="00916746"/>
    <w:rsid w:val="0091712F"/>
    <w:rsid w:val="00923CEB"/>
    <w:rsid w:val="00924A2C"/>
    <w:rsid w:val="009254E6"/>
    <w:rsid w:val="0093070B"/>
    <w:rsid w:val="00930A00"/>
    <w:rsid w:val="00931B4F"/>
    <w:rsid w:val="00932412"/>
    <w:rsid w:val="009331F8"/>
    <w:rsid w:val="009344A4"/>
    <w:rsid w:val="009360AD"/>
    <w:rsid w:val="00936293"/>
    <w:rsid w:val="009370BC"/>
    <w:rsid w:val="00941B67"/>
    <w:rsid w:val="0094472A"/>
    <w:rsid w:val="00947C99"/>
    <w:rsid w:val="00951214"/>
    <w:rsid w:val="00952695"/>
    <w:rsid w:val="009542D0"/>
    <w:rsid w:val="009564E3"/>
    <w:rsid w:val="009603C8"/>
    <w:rsid w:val="00960729"/>
    <w:rsid w:val="00961B1E"/>
    <w:rsid w:val="00962D2A"/>
    <w:rsid w:val="00963D5F"/>
    <w:rsid w:val="009650DE"/>
    <w:rsid w:val="00965C11"/>
    <w:rsid w:val="00966DEA"/>
    <w:rsid w:val="00973DF4"/>
    <w:rsid w:val="00977B73"/>
    <w:rsid w:val="009802C3"/>
    <w:rsid w:val="0098031C"/>
    <w:rsid w:val="009858B1"/>
    <w:rsid w:val="0099239E"/>
    <w:rsid w:val="009A1E4D"/>
    <w:rsid w:val="009A45B4"/>
    <w:rsid w:val="009A77D2"/>
    <w:rsid w:val="009B042E"/>
    <w:rsid w:val="009B2847"/>
    <w:rsid w:val="009B473C"/>
    <w:rsid w:val="009B56AC"/>
    <w:rsid w:val="009B71E8"/>
    <w:rsid w:val="009B7D37"/>
    <w:rsid w:val="009C0041"/>
    <w:rsid w:val="009C0296"/>
    <w:rsid w:val="009C03DF"/>
    <w:rsid w:val="009C0C70"/>
    <w:rsid w:val="009C27A4"/>
    <w:rsid w:val="009D065C"/>
    <w:rsid w:val="009D06C1"/>
    <w:rsid w:val="009D14C3"/>
    <w:rsid w:val="009D1AE9"/>
    <w:rsid w:val="009D3561"/>
    <w:rsid w:val="009D7642"/>
    <w:rsid w:val="009E290B"/>
    <w:rsid w:val="009E3339"/>
    <w:rsid w:val="009E5C0B"/>
    <w:rsid w:val="009E62F7"/>
    <w:rsid w:val="009F4E9D"/>
    <w:rsid w:val="00A00E04"/>
    <w:rsid w:val="00A049E4"/>
    <w:rsid w:val="00A064C7"/>
    <w:rsid w:val="00A06546"/>
    <w:rsid w:val="00A07B23"/>
    <w:rsid w:val="00A15214"/>
    <w:rsid w:val="00A154EE"/>
    <w:rsid w:val="00A171ED"/>
    <w:rsid w:val="00A22DF2"/>
    <w:rsid w:val="00A27C95"/>
    <w:rsid w:val="00A305C3"/>
    <w:rsid w:val="00A30B97"/>
    <w:rsid w:val="00A30F56"/>
    <w:rsid w:val="00A313CD"/>
    <w:rsid w:val="00A37454"/>
    <w:rsid w:val="00A37543"/>
    <w:rsid w:val="00A42F8E"/>
    <w:rsid w:val="00A43316"/>
    <w:rsid w:val="00A475FD"/>
    <w:rsid w:val="00A506F8"/>
    <w:rsid w:val="00A51354"/>
    <w:rsid w:val="00A52DD2"/>
    <w:rsid w:val="00A54E07"/>
    <w:rsid w:val="00A55F71"/>
    <w:rsid w:val="00A57584"/>
    <w:rsid w:val="00A57CF5"/>
    <w:rsid w:val="00A622EE"/>
    <w:rsid w:val="00A72016"/>
    <w:rsid w:val="00A735E1"/>
    <w:rsid w:val="00A7383E"/>
    <w:rsid w:val="00A76CB5"/>
    <w:rsid w:val="00A774FE"/>
    <w:rsid w:val="00A77D77"/>
    <w:rsid w:val="00A81088"/>
    <w:rsid w:val="00A845B4"/>
    <w:rsid w:val="00A8475E"/>
    <w:rsid w:val="00A8487F"/>
    <w:rsid w:val="00A857D3"/>
    <w:rsid w:val="00A8587A"/>
    <w:rsid w:val="00A85E98"/>
    <w:rsid w:val="00A86D9C"/>
    <w:rsid w:val="00A87D19"/>
    <w:rsid w:val="00A9606F"/>
    <w:rsid w:val="00A9682F"/>
    <w:rsid w:val="00A97806"/>
    <w:rsid w:val="00A978FA"/>
    <w:rsid w:val="00AA26DF"/>
    <w:rsid w:val="00AA4A4C"/>
    <w:rsid w:val="00AA6233"/>
    <w:rsid w:val="00AA693F"/>
    <w:rsid w:val="00AC1590"/>
    <w:rsid w:val="00AC1BBA"/>
    <w:rsid w:val="00AC27A8"/>
    <w:rsid w:val="00AC3D46"/>
    <w:rsid w:val="00AC579F"/>
    <w:rsid w:val="00AC5AED"/>
    <w:rsid w:val="00AC6ECC"/>
    <w:rsid w:val="00AD096B"/>
    <w:rsid w:val="00AD481C"/>
    <w:rsid w:val="00AD4BF9"/>
    <w:rsid w:val="00AD79C8"/>
    <w:rsid w:val="00AE4838"/>
    <w:rsid w:val="00AE7E62"/>
    <w:rsid w:val="00AF1EBE"/>
    <w:rsid w:val="00AF35E1"/>
    <w:rsid w:val="00AF4AFC"/>
    <w:rsid w:val="00AF74E7"/>
    <w:rsid w:val="00B04413"/>
    <w:rsid w:val="00B11DEF"/>
    <w:rsid w:val="00B12399"/>
    <w:rsid w:val="00B14F0E"/>
    <w:rsid w:val="00B1609F"/>
    <w:rsid w:val="00B1790B"/>
    <w:rsid w:val="00B203F3"/>
    <w:rsid w:val="00B24BCF"/>
    <w:rsid w:val="00B25A32"/>
    <w:rsid w:val="00B271A3"/>
    <w:rsid w:val="00B31EA6"/>
    <w:rsid w:val="00B3259B"/>
    <w:rsid w:val="00B33FDB"/>
    <w:rsid w:val="00B35103"/>
    <w:rsid w:val="00B418CF"/>
    <w:rsid w:val="00B47979"/>
    <w:rsid w:val="00B50136"/>
    <w:rsid w:val="00B5141A"/>
    <w:rsid w:val="00B53E8D"/>
    <w:rsid w:val="00B551A2"/>
    <w:rsid w:val="00B57790"/>
    <w:rsid w:val="00B641EB"/>
    <w:rsid w:val="00B659F6"/>
    <w:rsid w:val="00B65A6B"/>
    <w:rsid w:val="00B676C3"/>
    <w:rsid w:val="00B7084B"/>
    <w:rsid w:val="00B70C7C"/>
    <w:rsid w:val="00B752E1"/>
    <w:rsid w:val="00B76DBB"/>
    <w:rsid w:val="00B77746"/>
    <w:rsid w:val="00B7780D"/>
    <w:rsid w:val="00B80C7D"/>
    <w:rsid w:val="00B838A4"/>
    <w:rsid w:val="00B86A56"/>
    <w:rsid w:val="00B8716F"/>
    <w:rsid w:val="00B91043"/>
    <w:rsid w:val="00B91F9A"/>
    <w:rsid w:val="00B93CBE"/>
    <w:rsid w:val="00B95644"/>
    <w:rsid w:val="00B9711A"/>
    <w:rsid w:val="00B976DE"/>
    <w:rsid w:val="00B9770A"/>
    <w:rsid w:val="00BA09F6"/>
    <w:rsid w:val="00BA0CE6"/>
    <w:rsid w:val="00BA0E48"/>
    <w:rsid w:val="00BA120D"/>
    <w:rsid w:val="00BA373E"/>
    <w:rsid w:val="00BA4A76"/>
    <w:rsid w:val="00BA5125"/>
    <w:rsid w:val="00BA5982"/>
    <w:rsid w:val="00BA6BE4"/>
    <w:rsid w:val="00BB19D7"/>
    <w:rsid w:val="00BB596D"/>
    <w:rsid w:val="00BB5C26"/>
    <w:rsid w:val="00BB609C"/>
    <w:rsid w:val="00BB6681"/>
    <w:rsid w:val="00BB79F7"/>
    <w:rsid w:val="00BC1706"/>
    <w:rsid w:val="00BC2C73"/>
    <w:rsid w:val="00BC56E6"/>
    <w:rsid w:val="00BC5C7E"/>
    <w:rsid w:val="00BC65C5"/>
    <w:rsid w:val="00BC6DA4"/>
    <w:rsid w:val="00BC764C"/>
    <w:rsid w:val="00BD01D1"/>
    <w:rsid w:val="00BD08B9"/>
    <w:rsid w:val="00BD1562"/>
    <w:rsid w:val="00BD3133"/>
    <w:rsid w:val="00BD478F"/>
    <w:rsid w:val="00BD52EB"/>
    <w:rsid w:val="00BD5A7D"/>
    <w:rsid w:val="00BD6081"/>
    <w:rsid w:val="00BD7CB6"/>
    <w:rsid w:val="00BE0414"/>
    <w:rsid w:val="00BE07EE"/>
    <w:rsid w:val="00BE0B74"/>
    <w:rsid w:val="00BE120D"/>
    <w:rsid w:val="00BE2D37"/>
    <w:rsid w:val="00BE40A4"/>
    <w:rsid w:val="00BE40D9"/>
    <w:rsid w:val="00BE771A"/>
    <w:rsid w:val="00BF0535"/>
    <w:rsid w:val="00C01887"/>
    <w:rsid w:val="00C01A07"/>
    <w:rsid w:val="00C02589"/>
    <w:rsid w:val="00C0516A"/>
    <w:rsid w:val="00C0602C"/>
    <w:rsid w:val="00C07C99"/>
    <w:rsid w:val="00C1015B"/>
    <w:rsid w:val="00C10227"/>
    <w:rsid w:val="00C1485F"/>
    <w:rsid w:val="00C16F6F"/>
    <w:rsid w:val="00C1787C"/>
    <w:rsid w:val="00C17BEA"/>
    <w:rsid w:val="00C2101F"/>
    <w:rsid w:val="00C21997"/>
    <w:rsid w:val="00C219B2"/>
    <w:rsid w:val="00C242C4"/>
    <w:rsid w:val="00C2487B"/>
    <w:rsid w:val="00C25818"/>
    <w:rsid w:val="00C27FF2"/>
    <w:rsid w:val="00C307B8"/>
    <w:rsid w:val="00C30962"/>
    <w:rsid w:val="00C310DD"/>
    <w:rsid w:val="00C31EDB"/>
    <w:rsid w:val="00C33E2A"/>
    <w:rsid w:val="00C44361"/>
    <w:rsid w:val="00C443D8"/>
    <w:rsid w:val="00C5062F"/>
    <w:rsid w:val="00C50D33"/>
    <w:rsid w:val="00C53FB0"/>
    <w:rsid w:val="00C55112"/>
    <w:rsid w:val="00C555A4"/>
    <w:rsid w:val="00C55D79"/>
    <w:rsid w:val="00C56275"/>
    <w:rsid w:val="00C5735E"/>
    <w:rsid w:val="00C615C7"/>
    <w:rsid w:val="00C615F0"/>
    <w:rsid w:val="00C62487"/>
    <w:rsid w:val="00C63537"/>
    <w:rsid w:val="00C63F7A"/>
    <w:rsid w:val="00C64DA7"/>
    <w:rsid w:val="00C6542D"/>
    <w:rsid w:val="00C65539"/>
    <w:rsid w:val="00C66F8A"/>
    <w:rsid w:val="00C709DE"/>
    <w:rsid w:val="00C8273A"/>
    <w:rsid w:val="00C82B6C"/>
    <w:rsid w:val="00C853C0"/>
    <w:rsid w:val="00C87707"/>
    <w:rsid w:val="00C87DD1"/>
    <w:rsid w:val="00C90031"/>
    <w:rsid w:val="00C91FAA"/>
    <w:rsid w:val="00C929FA"/>
    <w:rsid w:val="00C93340"/>
    <w:rsid w:val="00C96CA2"/>
    <w:rsid w:val="00CA475D"/>
    <w:rsid w:val="00CA63E8"/>
    <w:rsid w:val="00CA63F8"/>
    <w:rsid w:val="00CA7C0D"/>
    <w:rsid w:val="00CB22EB"/>
    <w:rsid w:val="00CB4022"/>
    <w:rsid w:val="00CB5AFF"/>
    <w:rsid w:val="00CC3E79"/>
    <w:rsid w:val="00CC52A5"/>
    <w:rsid w:val="00CD05B0"/>
    <w:rsid w:val="00CD5B98"/>
    <w:rsid w:val="00CD7624"/>
    <w:rsid w:val="00CE24B2"/>
    <w:rsid w:val="00CE4F73"/>
    <w:rsid w:val="00CE54BD"/>
    <w:rsid w:val="00CE5EB7"/>
    <w:rsid w:val="00CF0FED"/>
    <w:rsid w:val="00CF1662"/>
    <w:rsid w:val="00CF167F"/>
    <w:rsid w:val="00CF1D56"/>
    <w:rsid w:val="00CF3798"/>
    <w:rsid w:val="00CF52C6"/>
    <w:rsid w:val="00CF590C"/>
    <w:rsid w:val="00CF7209"/>
    <w:rsid w:val="00D0292B"/>
    <w:rsid w:val="00D040F8"/>
    <w:rsid w:val="00D0428D"/>
    <w:rsid w:val="00D06BF5"/>
    <w:rsid w:val="00D06C83"/>
    <w:rsid w:val="00D10002"/>
    <w:rsid w:val="00D10017"/>
    <w:rsid w:val="00D12B41"/>
    <w:rsid w:val="00D13D8F"/>
    <w:rsid w:val="00D140B6"/>
    <w:rsid w:val="00D141AF"/>
    <w:rsid w:val="00D146F0"/>
    <w:rsid w:val="00D16589"/>
    <w:rsid w:val="00D16D6B"/>
    <w:rsid w:val="00D33C72"/>
    <w:rsid w:val="00D34F07"/>
    <w:rsid w:val="00D36D57"/>
    <w:rsid w:val="00D37168"/>
    <w:rsid w:val="00D40676"/>
    <w:rsid w:val="00D4454B"/>
    <w:rsid w:val="00D46C0B"/>
    <w:rsid w:val="00D50349"/>
    <w:rsid w:val="00D60492"/>
    <w:rsid w:val="00D60CA5"/>
    <w:rsid w:val="00D60DDF"/>
    <w:rsid w:val="00D63541"/>
    <w:rsid w:val="00D63C01"/>
    <w:rsid w:val="00D714A3"/>
    <w:rsid w:val="00D71DFB"/>
    <w:rsid w:val="00D73D76"/>
    <w:rsid w:val="00D74C3D"/>
    <w:rsid w:val="00D763CC"/>
    <w:rsid w:val="00D76436"/>
    <w:rsid w:val="00D7759A"/>
    <w:rsid w:val="00D7798F"/>
    <w:rsid w:val="00D816F5"/>
    <w:rsid w:val="00D825DD"/>
    <w:rsid w:val="00D8326A"/>
    <w:rsid w:val="00D84518"/>
    <w:rsid w:val="00D8497D"/>
    <w:rsid w:val="00D85D43"/>
    <w:rsid w:val="00D87661"/>
    <w:rsid w:val="00D87E8C"/>
    <w:rsid w:val="00D9545D"/>
    <w:rsid w:val="00DA1AAA"/>
    <w:rsid w:val="00DA1CE9"/>
    <w:rsid w:val="00DA36F2"/>
    <w:rsid w:val="00DA47C7"/>
    <w:rsid w:val="00DA4B0B"/>
    <w:rsid w:val="00DA4D9B"/>
    <w:rsid w:val="00DA52F3"/>
    <w:rsid w:val="00DA7ACE"/>
    <w:rsid w:val="00DB4055"/>
    <w:rsid w:val="00DB57D0"/>
    <w:rsid w:val="00DB7135"/>
    <w:rsid w:val="00DB79A2"/>
    <w:rsid w:val="00DC03FA"/>
    <w:rsid w:val="00DC468C"/>
    <w:rsid w:val="00DC471C"/>
    <w:rsid w:val="00DD0E61"/>
    <w:rsid w:val="00DD35E1"/>
    <w:rsid w:val="00DD3635"/>
    <w:rsid w:val="00DD37A8"/>
    <w:rsid w:val="00DD4BD5"/>
    <w:rsid w:val="00DD4FDB"/>
    <w:rsid w:val="00DE2010"/>
    <w:rsid w:val="00DE5BF7"/>
    <w:rsid w:val="00DE67FB"/>
    <w:rsid w:val="00DF0B06"/>
    <w:rsid w:val="00DF424B"/>
    <w:rsid w:val="00DF49E6"/>
    <w:rsid w:val="00DF5855"/>
    <w:rsid w:val="00E0143F"/>
    <w:rsid w:val="00E014A7"/>
    <w:rsid w:val="00E1219B"/>
    <w:rsid w:val="00E12ECF"/>
    <w:rsid w:val="00E164F3"/>
    <w:rsid w:val="00E2541F"/>
    <w:rsid w:val="00E259F9"/>
    <w:rsid w:val="00E27A2B"/>
    <w:rsid w:val="00E3070A"/>
    <w:rsid w:val="00E320CD"/>
    <w:rsid w:val="00E32248"/>
    <w:rsid w:val="00E33280"/>
    <w:rsid w:val="00E33908"/>
    <w:rsid w:val="00E34986"/>
    <w:rsid w:val="00E3724C"/>
    <w:rsid w:val="00E37681"/>
    <w:rsid w:val="00E40BD2"/>
    <w:rsid w:val="00E413A1"/>
    <w:rsid w:val="00E42FEB"/>
    <w:rsid w:val="00E46C29"/>
    <w:rsid w:val="00E472FF"/>
    <w:rsid w:val="00E4758C"/>
    <w:rsid w:val="00E47C63"/>
    <w:rsid w:val="00E51CD6"/>
    <w:rsid w:val="00E52E6C"/>
    <w:rsid w:val="00E54271"/>
    <w:rsid w:val="00E5678B"/>
    <w:rsid w:val="00E62CF5"/>
    <w:rsid w:val="00E639C9"/>
    <w:rsid w:val="00E63DDB"/>
    <w:rsid w:val="00E63F4E"/>
    <w:rsid w:val="00E67E7D"/>
    <w:rsid w:val="00E71CC8"/>
    <w:rsid w:val="00E724DB"/>
    <w:rsid w:val="00E73CA8"/>
    <w:rsid w:val="00E74D17"/>
    <w:rsid w:val="00E75357"/>
    <w:rsid w:val="00E809AE"/>
    <w:rsid w:val="00E81F61"/>
    <w:rsid w:val="00E83FC3"/>
    <w:rsid w:val="00E85070"/>
    <w:rsid w:val="00E85299"/>
    <w:rsid w:val="00E910F4"/>
    <w:rsid w:val="00E95FDD"/>
    <w:rsid w:val="00EA045B"/>
    <w:rsid w:val="00EA32EB"/>
    <w:rsid w:val="00EA37CE"/>
    <w:rsid w:val="00EA4A05"/>
    <w:rsid w:val="00EB368C"/>
    <w:rsid w:val="00EB4218"/>
    <w:rsid w:val="00EB42DC"/>
    <w:rsid w:val="00EB73B7"/>
    <w:rsid w:val="00EC17CF"/>
    <w:rsid w:val="00EC53FF"/>
    <w:rsid w:val="00ED3809"/>
    <w:rsid w:val="00ED4AEF"/>
    <w:rsid w:val="00ED50D7"/>
    <w:rsid w:val="00EE0F5C"/>
    <w:rsid w:val="00EE213D"/>
    <w:rsid w:val="00EE24B4"/>
    <w:rsid w:val="00EE4E69"/>
    <w:rsid w:val="00EE54DE"/>
    <w:rsid w:val="00EE7A1F"/>
    <w:rsid w:val="00EE7A65"/>
    <w:rsid w:val="00EF2769"/>
    <w:rsid w:val="00EF50AB"/>
    <w:rsid w:val="00EF61F0"/>
    <w:rsid w:val="00EF673F"/>
    <w:rsid w:val="00EF7046"/>
    <w:rsid w:val="00F007D8"/>
    <w:rsid w:val="00F03478"/>
    <w:rsid w:val="00F05FD3"/>
    <w:rsid w:val="00F06E0F"/>
    <w:rsid w:val="00F104B4"/>
    <w:rsid w:val="00F1398D"/>
    <w:rsid w:val="00F1594D"/>
    <w:rsid w:val="00F17A04"/>
    <w:rsid w:val="00F17B66"/>
    <w:rsid w:val="00F17BA2"/>
    <w:rsid w:val="00F274DD"/>
    <w:rsid w:val="00F3099F"/>
    <w:rsid w:val="00F32B38"/>
    <w:rsid w:val="00F333D2"/>
    <w:rsid w:val="00F34396"/>
    <w:rsid w:val="00F34A03"/>
    <w:rsid w:val="00F42E5D"/>
    <w:rsid w:val="00F4398F"/>
    <w:rsid w:val="00F45CA4"/>
    <w:rsid w:val="00F54CCB"/>
    <w:rsid w:val="00F57A9D"/>
    <w:rsid w:val="00F60791"/>
    <w:rsid w:val="00F62721"/>
    <w:rsid w:val="00F7493F"/>
    <w:rsid w:val="00F7545A"/>
    <w:rsid w:val="00F80FED"/>
    <w:rsid w:val="00F82A89"/>
    <w:rsid w:val="00F8581E"/>
    <w:rsid w:val="00F871B5"/>
    <w:rsid w:val="00F90E32"/>
    <w:rsid w:val="00F917B8"/>
    <w:rsid w:val="00F97FEA"/>
    <w:rsid w:val="00FA2EDB"/>
    <w:rsid w:val="00FA3D13"/>
    <w:rsid w:val="00FA48E3"/>
    <w:rsid w:val="00FA4E98"/>
    <w:rsid w:val="00FB0BD7"/>
    <w:rsid w:val="00FB4B34"/>
    <w:rsid w:val="00FB4EDD"/>
    <w:rsid w:val="00FB4F3D"/>
    <w:rsid w:val="00FB5446"/>
    <w:rsid w:val="00FB7390"/>
    <w:rsid w:val="00FB7B67"/>
    <w:rsid w:val="00FC4842"/>
    <w:rsid w:val="00FC6A78"/>
    <w:rsid w:val="00FD0D8C"/>
    <w:rsid w:val="00FD2624"/>
    <w:rsid w:val="00FD3039"/>
    <w:rsid w:val="00FD3371"/>
    <w:rsid w:val="00FD37BD"/>
    <w:rsid w:val="00FD6C48"/>
    <w:rsid w:val="00FD7B1F"/>
    <w:rsid w:val="00FE0EA7"/>
    <w:rsid w:val="00FE19DA"/>
    <w:rsid w:val="00FE2892"/>
    <w:rsid w:val="00FE58F4"/>
    <w:rsid w:val="00FE7B93"/>
    <w:rsid w:val="00FE7ED7"/>
    <w:rsid w:val="00FF4584"/>
    <w:rsid w:val="00FF7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1C"/>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471C"/>
    <w:pPr>
      <w:ind w:left="720"/>
      <w:contextualSpacing/>
    </w:pPr>
  </w:style>
  <w:style w:type="character" w:styleId="AklamaBavurusu">
    <w:name w:val="annotation reference"/>
    <w:basedOn w:val="VarsaylanParagrafYazTipi"/>
    <w:uiPriority w:val="99"/>
    <w:semiHidden/>
    <w:unhideWhenUsed/>
    <w:rsid w:val="00DC471C"/>
    <w:rPr>
      <w:sz w:val="18"/>
      <w:szCs w:val="18"/>
    </w:rPr>
  </w:style>
  <w:style w:type="paragraph" w:styleId="AklamaMetni">
    <w:name w:val="annotation text"/>
    <w:basedOn w:val="Normal"/>
    <w:link w:val="AklamaMetniChar"/>
    <w:uiPriority w:val="99"/>
    <w:unhideWhenUsed/>
    <w:rsid w:val="00DC471C"/>
    <w:pPr>
      <w:spacing w:line="240" w:lineRule="auto"/>
    </w:pPr>
    <w:rPr>
      <w:sz w:val="24"/>
      <w:szCs w:val="24"/>
    </w:rPr>
  </w:style>
  <w:style w:type="character" w:customStyle="1" w:styleId="AklamaMetniChar">
    <w:name w:val="Açıklama Metni Char"/>
    <w:basedOn w:val="VarsaylanParagrafYazTipi"/>
    <w:link w:val="AklamaMetni"/>
    <w:uiPriority w:val="99"/>
    <w:rsid w:val="00DC471C"/>
  </w:style>
  <w:style w:type="paragraph" w:styleId="BalonMetni">
    <w:name w:val="Balloon Text"/>
    <w:basedOn w:val="Normal"/>
    <w:link w:val="BalonMetniChar"/>
    <w:uiPriority w:val="99"/>
    <w:semiHidden/>
    <w:unhideWhenUsed/>
    <w:rsid w:val="00DC471C"/>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C471C"/>
    <w:rPr>
      <w:rFonts w:ascii="Times New Roman" w:hAnsi="Times New Roman" w:cs="Times New Roman"/>
      <w:sz w:val="18"/>
      <w:szCs w:val="18"/>
    </w:rPr>
  </w:style>
  <w:style w:type="paragraph" w:customStyle="1" w:styleId="msolistparagraph0">
    <w:name w:val="msolistparagraph"/>
    <w:basedOn w:val="Normal"/>
    <w:rsid w:val="001E79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00E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E04"/>
    <w:rPr>
      <w:sz w:val="22"/>
      <w:szCs w:val="22"/>
    </w:rPr>
  </w:style>
  <w:style w:type="paragraph" w:styleId="Altbilgi">
    <w:name w:val="footer"/>
    <w:basedOn w:val="Normal"/>
    <w:link w:val="AltbilgiChar"/>
    <w:uiPriority w:val="99"/>
    <w:unhideWhenUsed/>
    <w:rsid w:val="00A00E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E04"/>
    <w:rPr>
      <w:sz w:val="22"/>
      <w:szCs w:val="22"/>
    </w:rPr>
  </w:style>
  <w:style w:type="table" w:styleId="TabloKlavuzu">
    <w:name w:val="Table Grid"/>
    <w:basedOn w:val="NormalTablo"/>
    <w:uiPriority w:val="39"/>
    <w:rsid w:val="00BC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D73D76"/>
    <w:rPr>
      <w:b/>
      <w:bCs/>
      <w:sz w:val="20"/>
      <w:szCs w:val="20"/>
    </w:rPr>
  </w:style>
  <w:style w:type="character" w:customStyle="1" w:styleId="AklamaKonusuChar">
    <w:name w:val="Açıklama Konusu Char"/>
    <w:basedOn w:val="AklamaMetniChar"/>
    <w:link w:val="AklamaKonusu"/>
    <w:uiPriority w:val="99"/>
    <w:semiHidden/>
    <w:rsid w:val="00D73D76"/>
    <w:rPr>
      <w:b/>
      <w:bCs/>
      <w:sz w:val="20"/>
      <w:szCs w:val="20"/>
    </w:rPr>
  </w:style>
  <w:style w:type="paragraph" w:styleId="Dzeltme">
    <w:name w:val="Revision"/>
    <w:hidden/>
    <w:uiPriority w:val="99"/>
    <w:semiHidden/>
    <w:rsid w:val="009D065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1C"/>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471C"/>
    <w:pPr>
      <w:ind w:left="720"/>
      <w:contextualSpacing/>
    </w:pPr>
  </w:style>
  <w:style w:type="character" w:styleId="AklamaBavurusu">
    <w:name w:val="annotation reference"/>
    <w:basedOn w:val="VarsaylanParagrafYazTipi"/>
    <w:uiPriority w:val="99"/>
    <w:semiHidden/>
    <w:unhideWhenUsed/>
    <w:rsid w:val="00DC471C"/>
    <w:rPr>
      <w:sz w:val="18"/>
      <w:szCs w:val="18"/>
    </w:rPr>
  </w:style>
  <w:style w:type="paragraph" w:styleId="AklamaMetni">
    <w:name w:val="annotation text"/>
    <w:basedOn w:val="Normal"/>
    <w:link w:val="AklamaMetniChar"/>
    <w:uiPriority w:val="99"/>
    <w:unhideWhenUsed/>
    <w:rsid w:val="00DC471C"/>
    <w:pPr>
      <w:spacing w:line="240" w:lineRule="auto"/>
    </w:pPr>
    <w:rPr>
      <w:sz w:val="24"/>
      <w:szCs w:val="24"/>
    </w:rPr>
  </w:style>
  <w:style w:type="character" w:customStyle="1" w:styleId="AklamaMetniChar">
    <w:name w:val="Açıklama Metni Char"/>
    <w:basedOn w:val="VarsaylanParagrafYazTipi"/>
    <w:link w:val="AklamaMetni"/>
    <w:uiPriority w:val="99"/>
    <w:rsid w:val="00DC471C"/>
  </w:style>
  <w:style w:type="paragraph" w:styleId="BalonMetni">
    <w:name w:val="Balloon Text"/>
    <w:basedOn w:val="Normal"/>
    <w:link w:val="BalonMetniChar"/>
    <w:uiPriority w:val="99"/>
    <w:semiHidden/>
    <w:unhideWhenUsed/>
    <w:rsid w:val="00DC471C"/>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C471C"/>
    <w:rPr>
      <w:rFonts w:ascii="Times New Roman" w:hAnsi="Times New Roman" w:cs="Times New Roman"/>
      <w:sz w:val="18"/>
      <w:szCs w:val="18"/>
    </w:rPr>
  </w:style>
  <w:style w:type="paragraph" w:customStyle="1" w:styleId="msolistparagraph0">
    <w:name w:val="msolistparagraph"/>
    <w:basedOn w:val="Normal"/>
    <w:rsid w:val="001E79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00E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0E04"/>
    <w:rPr>
      <w:sz w:val="22"/>
      <w:szCs w:val="22"/>
    </w:rPr>
  </w:style>
  <w:style w:type="paragraph" w:styleId="Altbilgi">
    <w:name w:val="footer"/>
    <w:basedOn w:val="Normal"/>
    <w:link w:val="AltbilgiChar"/>
    <w:uiPriority w:val="99"/>
    <w:unhideWhenUsed/>
    <w:rsid w:val="00A00E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0E04"/>
    <w:rPr>
      <w:sz w:val="22"/>
      <w:szCs w:val="22"/>
    </w:rPr>
  </w:style>
  <w:style w:type="table" w:styleId="TabloKlavuzu">
    <w:name w:val="Table Grid"/>
    <w:basedOn w:val="NormalTablo"/>
    <w:uiPriority w:val="39"/>
    <w:rsid w:val="00BC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D73D76"/>
    <w:rPr>
      <w:b/>
      <w:bCs/>
      <w:sz w:val="20"/>
      <w:szCs w:val="20"/>
    </w:rPr>
  </w:style>
  <w:style w:type="character" w:customStyle="1" w:styleId="AklamaKonusuChar">
    <w:name w:val="Açıklama Konusu Char"/>
    <w:basedOn w:val="AklamaMetniChar"/>
    <w:link w:val="AklamaKonusu"/>
    <w:uiPriority w:val="99"/>
    <w:semiHidden/>
    <w:rsid w:val="00D73D76"/>
    <w:rPr>
      <w:b/>
      <w:bCs/>
      <w:sz w:val="20"/>
      <w:szCs w:val="20"/>
    </w:rPr>
  </w:style>
  <w:style w:type="paragraph" w:styleId="Dzeltme">
    <w:name w:val="Revision"/>
    <w:hidden/>
    <w:uiPriority w:val="99"/>
    <w:semiHidden/>
    <w:rsid w:val="009D06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B9C4FE-9B9C-4D9B-B1A6-6D90576E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9115</Words>
  <Characters>51960</Characters>
  <Application>Microsoft Office Word</Application>
  <DocSecurity>0</DocSecurity>
  <Lines>433</Lines>
  <Paragraphs>121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Company>
  <LinksUpToDate>false</LinksUpToDate>
  <CharactersWithSpaces>60954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komisyon zümrüt</cp:lastModifiedBy>
  <cp:revision>7</cp:revision>
  <cp:lastPrinted>2017-04-11T08:10:00Z</cp:lastPrinted>
  <dcterms:created xsi:type="dcterms:W3CDTF">2017-05-30T06:38:00Z</dcterms:created>
  <dcterms:modified xsi:type="dcterms:W3CDTF">2017-05-30T07:17:00Z</dcterms:modified>
</cp:coreProperties>
</file>